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14" w:rsidRDefault="000F4614" w:rsidP="00FB5FD6">
      <w:r>
        <w:t>Josef Spindelböck</w:t>
      </w:r>
    </w:p>
    <w:p w:rsidR="00D2503B" w:rsidRDefault="006138D9" w:rsidP="00FB5FD6">
      <w:pPr>
        <w:pStyle w:val="Titel"/>
        <w:jc w:val="center"/>
        <w:rPr>
          <w:sz w:val="28"/>
          <w:szCs w:val="28"/>
        </w:rPr>
      </w:pPr>
      <w:r>
        <w:t>Aktuelle Herausforderungen</w:t>
      </w:r>
      <w:r w:rsidR="00FB5FD6">
        <w:br/>
      </w:r>
      <w:r>
        <w:t>für Ehe und Familie</w:t>
      </w:r>
      <w:r w:rsidR="00FB5FD6">
        <w:br/>
      </w:r>
      <w:r w:rsidR="00636C85">
        <w:rPr>
          <w:sz w:val="28"/>
          <w:szCs w:val="28"/>
        </w:rPr>
        <w:t>Mora</w:t>
      </w:r>
      <w:r w:rsidR="00636C85">
        <w:rPr>
          <w:sz w:val="28"/>
          <w:szCs w:val="28"/>
        </w:rPr>
        <w:t>l</w:t>
      </w:r>
      <w:r w:rsidR="00636C85">
        <w:rPr>
          <w:sz w:val="28"/>
          <w:szCs w:val="28"/>
        </w:rPr>
        <w:t>theologische Anmerkungen</w:t>
      </w:r>
    </w:p>
    <w:p w:rsidR="002E1B5A" w:rsidRPr="00FB5FD6" w:rsidRDefault="0017222F" w:rsidP="00FB5FD6">
      <w:pPr>
        <w:jc w:val="center"/>
        <w:rPr>
          <w:i/>
          <w:sz w:val="20"/>
          <w:szCs w:val="20"/>
        </w:rPr>
      </w:pPr>
      <w:r w:rsidRPr="00FB5FD6">
        <w:rPr>
          <w:i/>
          <w:sz w:val="20"/>
          <w:szCs w:val="20"/>
        </w:rPr>
        <w:t>I</w:t>
      </w:r>
      <w:r w:rsidR="002E1B5A" w:rsidRPr="00FB5FD6">
        <w:rPr>
          <w:i/>
          <w:sz w:val="20"/>
          <w:szCs w:val="20"/>
        </w:rPr>
        <w:t>n: Forum Katholische Theologie 26 (2010) 179-190</w:t>
      </w:r>
      <w:r w:rsidR="00580C9D" w:rsidRPr="00FB5FD6">
        <w:rPr>
          <w:i/>
          <w:sz w:val="20"/>
          <w:szCs w:val="20"/>
        </w:rPr>
        <w:t>; Seitenzahlen im Folgenden gelb hervorgehoben.</w:t>
      </w:r>
    </w:p>
    <w:p w:rsidR="000F4614" w:rsidRPr="00351038" w:rsidRDefault="00D2503B" w:rsidP="00FB5FD6">
      <w:pPr>
        <w:pStyle w:val="berschrift1"/>
        <w:numPr>
          <w:ilvl w:val="0"/>
          <w:numId w:val="6"/>
        </w:numPr>
      </w:pPr>
      <w:r w:rsidRPr="00351038">
        <w:t>Die</w:t>
      </w:r>
      <w:r w:rsidR="002B6B85" w:rsidRPr="00351038">
        <w:t xml:space="preserve"> g</w:t>
      </w:r>
      <w:r w:rsidR="000F4614" w:rsidRPr="00351038">
        <w:t xml:space="preserve">rundlegende Berufung </w:t>
      </w:r>
      <w:r w:rsidR="006138D9" w:rsidRPr="00351038">
        <w:t>eines jeden</w:t>
      </w:r>
      <w:r w:rsidRPr="00351038">
        <w:t xml:space="preserve"> Menschen </w:t>
      </w:r>
      <w:r w:rsidR="000F4614" w:rsidRPr="00351038">
        <w:t>zur Liebe</w:t>
      </w:r>
    </w:p>
    <w:p w:rsidR="002B6B85" w:rsidRDefault="00DC75DC" w:rsidP="00FB5FD6">
      <w:r w:rsidRPr="00DC75DC">
        <w:rPr>
          <w:highlight w:val="yellow"/>
        </w:rPr>
        <w:t>179</w:t>
      </w:r>
      <w:r>
        <w:t xml:space="preserve"> </w:t>
      </w:r>
      <w:r w:rsidR="002B6B85">
        <w:t xml:space="preserve">Gott hat den Menschen als </w:t>
      </w:r>
      <w:r w:rsidR="002B6B85" w:rsidRPr="00351038">
        <w:t>Mann und Frau nach seinem Bild</w:t>
      </w:r>
      <w:r w:rsidR="002B6B85">
        <w:t xml:space="preserve"> erschaffen</w:t>
      </w:r>
      <w:r w:rsidR="00D2503B">
        <w:rPr>
          <w:rStyle w:val="Funotenzeichen"/>
        </w:rPr>
        <w:footnoteReference w:id="1"/>
      </w:r>
      <w:r w:rsidR="002B6B85">
        <w:t xml:space="preserve">, </w:t>
      </w:r>
      <w:r w:rsidR="0088399E">
        <w:t>„</w:t>
      </w:r>
      <w:r w:rsidR="002B6B85">
        <w:t xml:space="preserve">und es war </w:t>
      </w:r>
      <w:r w:rsidR="00D2503B" w:rsidRPr="00351038">
        <w:t xml:space="preserve">sehr </w:t>
      </w:r>
      <w:r w:rsidR="002B6B85" w:rsidRPr="00351038">
        <w:t>gut</w:t>
      </w:r>
      <w:r w:rsidR="0088399E">
        <w:t>“</w:t>
      </w:r>
      <w:r w:rsidR="00D2503B">
        <w:t xml:space="preserve"> (Gen 1,31)</w:t>
      </w:r>
      <w:r w:rsidR="002B6B85">
        <w:t>. Von der Schöpfungsordnung her bejahen wir als Chri</w:t>
      </w:r>
      <w:r w:rsidR="002B6B85">
        <w:t>s</w:t>
      </w:r>
      <w:r w:rsidR="002B6B85">
        <w:t xml:space="preserve">ten die </w:t>
      </w:r>
      <w:r w:rsidR="002B6B85" w:rsidRPr="00351038">
        <w:t>personale Ausprägung des Menschen in seiner Zweigeschlechtlichkeit,</w:t>
      </w:r>
      <w:r w:rsidR="002B6B85">
        <w:t xml:space="preserve"> als Mann bzw. als Frau.</w:t>
      </w:r>
      <w:r w:rsidR="00030F7D">
        <w:rPr>
          <w:rStyle w:val="Funotenzeichen"/>
        </w:rPr>
        <w:footnoteReference w:id="2"/>
      </w:r>
      <w:r w:rsidR="002B6B85">
        <w:t xml:space="preserve"> Die </w:t>
      </w:r>
      <w:r w:rsidR="002B6B85" w:rsidRPr="00FB5FD6">
        <w:t>sexuelle</w:t>
      </w:r>
      <w:r w:rsidR="002B6B85">
        <w:t xml:space="preserve"> Prägung ist nicht nur etwas Biologisches, sondern etwas Ganzheitlich-Personales. Der Leib ist nicht </w:t>
      </w:r>
      <w:r w:rsidR="006C776E">
        <w:t>bloß</w:t>
      </w:r>
      <w:r w:rsidR="002B6B85">
        <w:t xml:space="preserve"> etwas </w:t>
      </w:r>
      <w:r w:rsidR="0088399E">
        <w:t>„</w:t>
      </w:r>
      <w:r w:rsidR="002B6B85">
        <w:t>Hinzukommendes</w:t>
      </w:r>
      <w:r w:rsidR="0088399E">
        <w:t>“</w:t>
      </w:r>
      <w:r w:rsidR="002B6B85">
        <w:t xml:space="preserve"> (ein </w:t>
      </w:r>
      <w:r w:rsidR="0088399E">
        <w:t>„</w:t>
      </w:r>
      <w:r w:rsidR="002B6B85">
        <w:t>Akzidens</w:t>
      </w:r>
      <w:r w:rsidR="0088399E">
        <w:t>“</w:t>
      </w:r>
      <w:r w:rsidR="002B6B85">
        <w:t xml:space="preserve">), sondern das Menschsein macht </w:t>
      </w:r>
      <w:r w:rsidR="00D2503B">
        <w:t xml:space="preserve">gerade </w:t>
      </w:r>
      <w:r w:rsidR="002B6B85">
        <w:t xml:space="preserve">die </w:t>
      </w:r>
      <w:r w:rsidR="002B6B85" w:rsidRPr="00351038">
        <w:t xml:space="preserve">wesentliche Einheit von Leib und Seele </w:t>
      </w:r>
      <w:r w:rsidR="002B6B85">
        <w:t>aus.</w:t>
      </w:r>
    </w:p>
    <w:p w:rsidR="002B6B85" w:rsidRDefault="002B6B85" w:rsidP="00FB5FD6">
      <w:r>
        <w:t xml:space="preserve">Durch den </w:t>
      </w:r>
      <w:r w:rsidRPr="00351038">
        <w:t>Sündenfall</w:t>
      </w:r>
      <w:r>
        <w:t xml:space="preserve"> ist die ursprüngliche Harmonie des </w:t>
      </w:r>
      <w:r w:rsidR="00D2503B">
        <w:t>Menschen mit Gott, mit sich selbst und mit den Mitmenschen</w:t>
      </w:r>
      <w:r>
        <w:t xml:space="preserve"> in </w:t>
      </w:r>
      <w:r w:rsidRPr="00351038">
        <w:t>Unordnung</w:t>
      </w:r>
      <w:r w:rsidR="00351038">
        <w:t xml:space="preserve"> geraten.</w:t>
      </w:r>
      <w:r w:rsidR="00DD4F58">
        <w:rPr>
          <w:rStyle w:val="Funotenzeichen"/>
        </w:rPr>
        <w:footnoteReference w:id="3"/>
      </w:r>
      <w:r>
        <w:t xml:space="preserve"> </w:t>
      </w:r>
      <w:r w:rsidRPr="00351038">
        <w:t>In Jesus Christus</w:t>
      </w:r>
      <w:r>
        <w:t xml:space="preserve"> wird der ganze Mensch geheilt; empfängt er </w:t>
      </w:r>
      <w:r w:rsidRPr="00351038">
        <w:t>Heil und Erlösung</w:t>
      </w:r>
      <w:r>
        <w:t>. Auch der Leib wird einb</w:t>
      </w:r>
      <w:r>
        <w:t>e</w:t>
      </w:r>
      <w:r>
        <w:t xml:space="preserve">zogen in die Gottverbundenheit und Heiligung des ganzen Menschen. </w:t>
      </w:r>
      <w:r w:rsidR="00495F7F">
        <w:t xml:space="preserve">Die </w:t>
      </w:r>
      <w:r w:rsidR="00495F7F" w:rsidRPr="00351038">
        <w:t>Auferst</w:t>
      </w:r>
      <w:r w:rsidR="00495F7F" w:rsidRPr="00351038">
        <w:t>e</w:t>
      </w:r>
      <w:r w:rsidR="00495F7F" w:rsidRPr="00351038">
        <w:t>hung Christi</w:t>
      </w:r>
      <w:r w:rsidR="00495F7F">
        <w:t xml:space="preserve"> ist Unterpfand auch unserer Hoffnung auf die Auferstehung des Leibes, auf die </w:t>
      </w:r>
      <w:r w:rsidR="00495F7F" w:rsidRPr="00351038">
        <w:t>Vollendung des ganzen Menschen mit Leib und Seele</w:t>
      </w:r>
      <w:r w:rsidR="00495F7F">
        <w:t xml:space="preserve">. Der </w:t>
      </w:r>
      <w:r w:rsidR="00495F7F" w:rsidRPr="00351038">
        <w:t>Leib</w:t>
      </w:r>
      <w:r w:rsidR="00495F7F">
        <w:t xml:space="preserve"> ist nach dem heiligen Paulus ein </w:t>
      </w:r>
      <w:r w:rsidR="0088399E">
        <w:t>„</w:t>
      </w:r>
      <w:r w:rsidR="00495F7F" w:rsidRPr="00351038">
        <w:t>Tempel des Heiligen Geistes</w:t>
      </w:r>
      <w:r w:rsidR="0088399E">
        <w:t>“</w:t>
      </w:r>
      <w:r w:rsidR="00495F7F">
        <w:t>.</w:t>
      </w:r>
      <w:r w:rsidR="00FE4216">
        <w:rPr>
          <w:rStyle w:val="Funotenzeichen"/>
        </w:rPr>
        <w:footnoteReference w:id="4"/>
      </w:r>
      <w:r w:rsidR="00495F7F">
        <w:t xml:space="preserve"> In dieser </w:t>
      </w:r>
      <w:r w:rsidR="00495F7F" w:rsidRPr="00351038">
        <w:t>Wertschätzung</w:t>
      </w:r>
      <w:r w:rsidR="00351038">
        <w:t xml:space="preserve"> des </w:t>
      </w:r>
      <w:r w:rsidR="003F26AE">
        <w:t>g</w:t>
      </w:r>
      <w:r w:rsidR="003F26AE">
        <w:t>e</w:t>
      </w:r>
      <w:r w:rsidR="003F26AE">
        <w:t xml:space="preserve">schlechtlich geprägten </w:t>
      </w:r>
      <w:r w:rsidR="00351038">
        <w:t>Leibes</w:t>
      </w:r>
      <w:r w:rsidR="00495F7F">
        <w:t xml:space="preserve"> begründet sich die Ableh</w:t>
      </w:r>
      <w:r w:rsidR="00351038">
        <w:t>n</w:t>
      </w:r>
      <w:r w:rsidR="00495F7F">
        <w:t xml:space="preserve">ung all dessen, was den Leib entehrt und schändet (Unzucht, Ehebruch, homosexuelles Verhalten, </w:t>
      </w:r>
      <w:r w:rsidR="00DD4F58">
        <w:t>Prostitut</w:t>
      </w:r>
      <w:r w:rsidR="00DD4F58">
        <w:t>i</w:t>
      </w:r>
      <w:r w:rsidR="00DD4F58">
        <w:t>on, sexuelle Gewalt, sexueller Missbrauch von Kindern und Unmündigen</w:t>
      </w:r>
      <w:r w:rsidR="00495F7F">
        <w:t xml:space="preserve"> etc.).</w:t>
      </w:r>
    </w:p>
    <w:p w:rsidR="00495F7F" w:rsidRPr="00351038" w:rsidRDefault="00495F7F" w:rsidP="00FB5FD6">
      <w:r>
        <w:t xml:space="preserve">Die </w:t>
      </w:r>
      <w:r w:rsidRPr="00351038">
        <w:t>grundlegende Berufung</w:t>
      </w:r>
      <w:r>
        <w:t xml:space="preserve"> eines jeden Menschen ist die zur Liebe:</w:t>
      </w:r>
      <w:r w:rsidR="002F1711">
        <w:t xml:space="preserve"> </w:t>
      </w:r>
      <w:r>
        <w:t xml:space="preserve">Gott hat den Menschen </w:t>
      </w:r>
      <w:r w:rsidRPr="006C776E">
        <w:rPr>
          <w:i/>
        </w:rPr>
        <w:t>aus Liebe</w:t>
      </w:r>
      <w:r>
        <w:t xml:space="preserve"> nach seinem Bild und Gleichnis</w:t>
      </w:r>
      <w:r w:rsidR="00B149B2" w:rsidRPr="00B149B2">
        <w:t xml:space="preserve"> </w:t>
      </w:r>
      <w:r w:rsidR="00B149B2" w:rsidRPr="00351038">
        <w:t>erschaffen</w:t>
      </w:r>
      <w:r>
        <w:t xml:space="preserve">; wir alle </w:t>
      </w:r>
      <w:r w:rsidR="00B149B2">
        <w:t xml:space="preserve">– d.h. jeder </w:t>
      </w:r>
      <w:r w:rsidR="00DC75DC" w:rsidRPr="00DC75DC">
        <w:rPr>
          <w:highlight w:val="yellow"/>
        </w:rPr>
        <w:t>180</w:t>
      </w:r>
      <w:r w:rsidR="00DC75DC">
        <w:t xml:space="preserve"> </w:t>
      </w:r>
      <w:r w:rsidR="00B149B2">
        <w:t>einzelne</w:t>
      </w:r>
      <w:r w:rsidR="003F26AE">
        <w:t xml:space="preserve"> </w:t>
      </w:r>
      <w:r w:rsidR="00B149B2">
        <w:t xml:space="preserve">– </w:t>
      </w:r>
      <w:r>
        <w:t>sind</w:t>
      </w:r>
      <w:r w:rsidR="006138D9">
        <w:t xml:space="preserve"> auch</w:t>
      </w:r>
      <w:r>
        <w:t xml:space="preserve"> </w:t>
      </w:r>
      <w:r w:rsidRPr="006C776E">
        <w:rPr>
          <w:i/>
        </w:rPr>
        <w:t>zur Liebe</w:t>
      </w:r>
      <w:r w:rsidRPr="00351038">
        <w:t xml:space="preserve"> berufen</w:t>
      </w:r>
      <w:r>
        <w:t>.</w:t>
      </w:r>
      <w:r w:rsidR="00385ED8">
        <w:rPr>
          <w:rStyle w:val="Funotenzeichen"/>
        </w:rPr>
        <w:footnoteReference w:id="5"/>
      </w:r>
      <w:r>
        <w:t xml:space="preserve"> </w:t>
      </w:r>
      <w:r w:rsidR="0088399E">
        <w:t>„</w:t>
      </w:r>
      <w:r>
        <w:t>Gott ist Liebe</w:t>
      </w:r>
      <w:r w:rsidR="0088399E">
        <w:t>“</w:t>
      </w:r>
      <w:r>
        <w:t xml:space="preserve"> (</w:t>
      </w:r>
      <w:r w:rsidR="0088399E">
        <w:t>„</w:t>
      </w:r>
      <w:r>
        <w:t xml:space="preserve">Deus </w:t>
      </w:r>
      <w:proofErr w:type="spellStart"/>
      <w:r>
        <w:t>caritas</w:t>
      </w:r>
      <w:proofErr w:type="spellEnd"/>
      <w:r>
        <w:t xml:space="preserve"> </w:t>
      </w:r>
      <w:proofErr w:type="spellStart"/>
      <w:r>
        <w:t>est</w:t>
      </w:r>
      <w:proofErr w:type="spellEnd"/>
      <w:r w:rsidR="0088399E">
        <w:t>“</w:t>
      </w:r>
      <w:r w:rsidR="004F75B9">
        <w:rPr>
          <w:rStyle w:val="Funotenzeichen"/>
        </w:rPr>
        <w:footnoteReference w:id="6"/>
      </w:r>
      <w:r>
        <w:t xml:space="preserve">, 1 </w:t>
      </w:r>
      <w:proofErr w:type="spellStart"/>
      <w:r>
        <w:lastRenderedPageBreak/>
        <w:t>Joh</w:t>
      </w:r>
      <w:proofErr w:type="spellEnd"/>
      <w:r>
        <w:t xml:space="preserve"> 4,8.16); wir finden unsere </w:t>
      </w:r>
      <w:r w:rsidRPr="00351038">
        <w:t>Vollendung</w:t>
      </w:r>
      <w:r>
        <w:t xml:space="preserve"> nur dadurch, dass wir die </w:t>
      </w:r>
      <w:r w:rsidRPr="00351038">
        <w:t>Gottes- und Nächstenliebe verwirklichen.</w:t>
      </w:r>
    </w:p>
    <w:p w:rsidR="004A51E7" w:rsidRPr="007F2265" w:rsidRDefault="00495F7F" w:rsidP="00FB5FD6">
      <w:r>
        <w:t xml:space="preserve">Es gibt gemäß christlicher Auffassung </w:t>
      </w:r>
      <w:r w:rsidRPr="00351038">
        <w:t>z</w:t>
      </w:r>
      <w:r w:rsidR="000F4614" w:rsidRPr="00351038">
        <w:t>wei Grundformen dieser Berufung</w:t>
      </w:r>
      <w:r w:rsidR="004A51E7">
        <w:t xml:space="preserve"> zur Liebe</w:t>
      </w:r>
      <w:r w:rsidR="000F4614">
        <w:t xml:space="preserve">: </w:t>
      </w:r>
      <w:r>
        <w:t xml:space="preserve">die </w:t>
      </w:r>
      <w:r w:rsidR="000F4614">
        <w:t xml:space="preserve">Ehe </w:t>
      </w:r>
      <w:r>
        <w:t>sowie die</w:t>
      </w:r>
      <w:r w:rsidR="000F4614">
        <w:t xml:space="preserve"> gott</w:t>
      </w:r>
      <w:r>
        <w:t>geweihte Jungfräulichkeit bzw. den</w:t>
      </w:r>
      <w:r w:rsidR="000F4614">
        <w:t xml:space="preserve"> Zölibat um des Himmelre</w:t>
      </w:r>
      <w:r w:rsidR="000F4614">
        <w:t>i</w:t>
      </w:r>
      <w:r w:rsidR="000F4614">
        <w:t>ches willen</w:t>
      </w:r>
      <w:r w:rsidR="004A51E7">
        <w:t>.</w:t>
      </w:r>
      <w:r w:rsidR="004A51E7">
        <w:rPr>
          <w:rStyle w:val="Funotenzeichen"/>
        </w:rPr>
        <w:footnoteReference w:id="7"/>
      </w:r>
    </w:p>
    <w:p w:rsidR="000F4614" w:rsidRDefault="00495F7F" w:rsidP="00FB5FD6">
      <w:r>
        <w:t xml:space="preserve">In beiden Fällen ist der </w:t>
      </w:r>
      <w:r w:rsidRPr="00351038">
        <w:t>Leib einbezogen</w:t>
      </w:r>
      <w:r>
        <w:t xml:space="preserve">: in der </w:t>
      </w:r>
      <w:r w:rsidRPr="00351038">
        <w:t>Ehe</w:t>
      </w:r>
      <w:r>
        <w:t xml:space="preserve"> wird der sexuelle Ausdruck der Liebe </w:t>
      </w:r>
      <w:r w:rsidR="004A51E7">
        <w:t>hin</w:t>
      </w:r>
      <w:r>
        <w:t>geordnet auf die beiden Sinngehalte (</w:t>
      </w:r>
      <w:r w:rsidR="004A51E7">
        <w:t>nämlich: liebende Vereinigung der Gatten und</w:t>
      </w:r>
      <w:r>
        <w:t xml:space="preserve"> Offenheit für Kinder</w:t>
      </w:r>
      <w:r w:rsidR="00A00DBF" w:rsidRPr="00A00DBF">
        <w:rPr>
          <w:vertAlign w:val="superscript"/>
          <w:lang w:val="de-DE"/>
        </w:rPr>
        <w:footnoteReference w:id="8"/>
      </w:r>
      <w:r>
        <w:t xml:space="preserve">); in der gottgeweihten </w:t>
      </w:r>
      <w:r w:rsidRPr="00351038">
        <w:t>Ehelosigkeit</w:t>
      </w:r>
      <w:r>
        <w:t xml:space="preserve"> verbindet sich die sexuelle Abstinenz (die nicht </w:t>
      </w:r>
      <w:r w:rsidR="006E0BEC">
        <w:t>Verdrängung</w:t>
      </w:r>
      <w:r>
        <w:t xml:space="preserve"> bedeutet</w:t>
      </w:r>
      <w:r w:rsidR="00E97B18">
        <w:t>, sondern Sublimierung und Inte</w:t>
      </w:r>
      <w:r>
        <w:t>gration) mit einem Höchstmaß personaler Zuwendung an Gott und die Me</w:t>
      </w:r>
      <w:r>
        <w:t>n</w:t>
      </w:r>
      <w:r>
        <w:t xml:space="preserve">schen. Auf diese Weise wird im jungfräulichen Lebensstand die eschatologische </w:t>
      </w:r>
      <w:r w:rsidR="0088399E">
        <w:t>„</w:t>
      </w:r>
      <w:r w:rsidRPr="00351038">
        <w:t>Hochzeit des Lammes</w:t>
      </w:r>
      <w:r w:rsidR="0088399E">
        <w:t>“</w:t>
      </w:r>
      <w:r w:rsidR="004A51E7">
        <w:rPr>
          <w:rStyle w:val="Funotenzeichen"/>
        </w:rPr>
        <w:footnoteReference w:id="9"/>
      </w:r>
      <w:r>
        <w:t xml:space="preserve"> vorweggenommen; doch auch die Ehe als Sakrament ist ein Abbild und eine Teilhabe am </w:t>
      </w:r>
      <w:r w:rsidRPr="00351038">
        <w:t>Bund Gottes mit den Menschen</w:t>
      </w:r>
      <w:r>
        <w:t xml:space="preserve"> bzw. an der liebe</w:t>
      </w:r>
      <w:r>
        <w:t>n</w:t>
      </w:r>
      <w:r>
        <w:t xml:space="preserve">den </w:t>
      </w:r>
      <w:r w:rsidRPr="00351038">
        <w:t>Einheit Christi mit der Kirche</w:t>
      </w:r>
      <w:r>
        <w:t>, seiner Braut</w:t>
      </w:r>
      <w:r w:rsidR="004A51E7">
        <w:t>.</w:t>
      </w:r>
      <w:r w:rsidR="004A51E7">
        <w:rPr>
          <w:rStyle w:val="Funotenzeichen"/>
        </w:rPr>
        <w:footnoteReference w:id="10"/>
      </w:r>
    </w:p>
    <w:p w:rsidR="000F4614" w:rsidRPr="00351038" w:rsidRDefault="00495F7F" w:rsidP="00FB5FD6">
      <w:pPr>
        <w:pStyle w:val="berschrift1"/>
        <w:numPr>
          <w:ilvl w:val="0"/>
          <w:numId w:val="6"/>
        </w:numPr>
      </w:pPr>
      <w:r w:rsidRPr="00351038">
        <w:lastRenderedPageBreak/>
        <w:t xml:space="preserve">Die </w:t>
      </w:r>
      <w:r w:rsidR="000F4614" w:rsidRPr="00351038">
        <w:t>Größe und Schönheit der ehelichen Liebe</w:t>
      </w:r>
    </w:p>
    <w:p w:rsidR="002F2142" w:rsidRDefault="00DC75DC" w:rsidP="00FB5FD6">
      <w:r w:rsidRPr="00DC75DC">
        <w:rPr>
          <w:highlight w:val="yellow"/>
        </w:rPr>
        <w:t>181</w:t>
      </w:r>
      <w:r>
        <w:t xml:space="preserve"> </w:t>
      </w:r>
      <w:r w:rsidR="00C57D84">
        <w:t>In Kürze soll auf die</w:t>
      </w:r>
      <w:r w:rsidR="002F2142">
        <w:t xml:space="preserve"> Größe und Schönheit der ehelichen Liebe und der damit verbundenen Berufung</w:t>
      </w:r>
      <w:r w:rsidR="00A00DBF">
        <w:t xml:space="preserve"> von Mann und Frau</w:t>
      </w:r>
      <w:r w:rsidR="002F2142">
        <w:t xml:space="preserve"> </w:t>
      </w:r>
      <w:r w:rsidR="00C57D84">
        <w:t>eingegangen werden.</w:t>
      </w:r>
      <w:r w:rsidR="00DD56DE">
        <w:rPr>
          <w:rStyle w:val="Funotenzeichen"/>
        </w:rPr>
        <w:footnoteReference w:id="11"/>
      </w:r>
    </w:p>
    <w:p w:rsidR="008D4543" w:rsidRDefault="002F2142" w:rsidP="00FB5FD6">
      <w:r>
        <w:t xml:space="preserve">Die </w:t>
      </w:r>
      <w:r w:rsidRPr="00351038">
        <w:t>Ehe gehört</w:t>
      </w:r>
      <w:r>
        <w:t xml:space="preserve"> gleichsam </w:t>
      </w:r>
      <w:r w:rsidRPr="00351038">
        <w:t xml:space="preserve">zur </w:t>
      </w:r>
      <w:r w:rsidR="0088399E" w:rsidRPr="00351038">
        <w:t>„</w:t>
      </w:r>
      <w:r w:rsidRPr="00351038">
        <w:t>Natur</w:t>
      </w:r>
      <w:r w:rsidR="0088399E" w:rsidRPr="00351038">
        <w:t>“</w:t>
      </w:r>
      <w:r w:rsidRPr="00351038">
        <w:t xml:space="preserve"> des Menschen</w:t>
      </w:r>
      <w:r w:rsidR="008D4543">
        <w:t>, d.h. sie ist mit dem Menschsein als solchen verbunden und insbesondere mit der Personalität des Menschen</w:t>
      </w:r>
      <w:r>
        <w:t xml:space="preserve">. </w:t>
      </w:r>
      <w:r w:rsidR="008D4543">
        <w:t xml:space="preserve">Die auf die Ehe gegründete </w:t>
      </w:r>
      <w:r w:rsidR="008D4543" w:rsidRPr="00351038">
        <w:t>Familie</w:t>
      </w:r>
      <w:r>
        <w:t xml:space="preserve"> ist die </w:t>
      </w:r>
      <w:r w:rsidR="008D4543">
        <w:t>elementarste</w:t>
      </w:r>
      <w:r>
        <w:t xml:space="preserve"> Zelle der Gesellschaft; ihre Existenz verdankt sie nicht einem </w:t>
      </w:r>
      <w:r w:rsidR="008D4543">
        <w:t xml:space="preserve">willkürlichen </w:t>
      </w:r>
      <w:r>
        <w:t xml:space="preserve">menschlichen Entwurf, sondern der </w:t>
      </w:r>
      <w:r w:rsidRPr="00351038">
        <w:t>Schö</w:t>
      </w:r>
      <w:r w:rsidRPr="00351038">
        <w:t>p</w:t>
      </w:r>
      <w:r w:rsidRPr="00351038">
        <w:t>fungsordnung</w:t>
      </w:r>
      <w:r>
        <w:t>. Dadurch dass Gott Mann und Frau in Zuordnung füreinander erscha</w:t>
      </w:r>
      <w:r>
        <w:t>f</w:t>
      </w:r>
      <w:r>
        <w:t>fen hat</w:t>
      </w:r>
      <w:r w:rsidR="008D4543">
        <w:t xml:space="preserve"> (</w:t>
      </w:r>
      <w:r w:rsidR="00EF520C">
        <w:t xml:space="preserve">wir sprechen von </w:t>
      </w:r>
      <w:r w:rsidR="008D4543">
        <w:t>Polarität und Komplementarität)</w:t>
      </w:r>
      <w:r>
        <w:t xml:space="preserve">, hat er diesen </w:t>
      </w:r>
      <w:r w:rsidRPr="00351038">
        <w:t>Bund der Liebe und des Lebens</w:t>
      </w:r>
      <w:r>
        <w:t xml:space="preserve"> </w:t>
      </w:r>
      <w:r w:rsidR="008D4543">
        <w:t xml:space="preserve">schon </w:t>
      </w:r>
      <w:r w:rsidR="0088399E">
        <w:t>„</w:t>
      </w:r>
      <w:r w:rsidR="008D4543">
        <w:t>im Anfang</w:t>
      </w:r>
      <w:r w:rsidR="0088399E">
        <w:t>“</w:t>
      </w:r>
      <w:r w:rsidR="008D4543">
        <w:rPr>
          <w:rStyle w:val="Funotenzeichen"/>
        </w:rPr>
        <w:footnoteReference w:id="12"/>
      </w:r>
      <w:r w:rsidR="008D4543">
        <w:t xml:space="preserve"> eingesetzt.</w:t>
      </w:r>
    </w:p>
    <w:p w:rsidR="00D673D1" w:rsidRDefault="002F2142" w:rsidP="00FB5FD6">
      <w:r>
        <w:t xml:space="preserve">Damit es </w:t>
      </w:r>
      <w:r w:rsidR="00A105E8">
        <w:t xml:space="preserve">konkret </w:t>
      </w:r>
      <w:r>
        <w:t xml:space="preserve">zur Ehe kommt, braucht es die individuelle </w:t>
      </w:r>
      <w:r w:rsidRPr="00351038">
        <w:t>Entscheidung der Par</w:t>
      </w:r>
      <w:r w:rsidRPr="00351038">
        <w:t>t</w:t>
      </w:r>
      <w:r w:rsidRPr="00351038">
        <w:t>ner</w:t>
      </w:r>
      <w:r>
        <w:t xml:space="preserve">, die all das </w:t>
      </w:r>
      <w:r w:rsidRPr="00351038">
        <w:t>bejahen</w:t>
      </w:r>
      <w:r>
        <w:t xml:space="preserve">, was zum </w:t>
      </w:r>
      <w:r w:rsidRPr="00351038">
        <w:t>Wesen der Ehe</w:t>
      </w:r>
      <w:r>
        <w:t xml:space="preserve"> gehört: nämlich ihren umfasse</w:t>
      </w:r>
      <w:r>
        <w:t>n</w:t>
      </w:r>
      <w:r>
        <w:t>den Charakter als Gemeinschaft des Lebens und der Liebe,</w:t>
      </w:r>
      <w:r w:rsidR="00EF520C">
        <w:t xml:space="preserve"> und dies</w:t>
      </w:r>
      <w:r>
        <w:t xml:space="preserve"> in wirklicher Einheit der Seele und des Leibes (die Heilige Schrift spricht vom </w:t>
      </w:r>
      <w:r w:rsidR="0088399E">
        <w:t>„</w:t>
      </w:r>
      <w:r>
        <w:t>Ein-Fleisch-Werden</w:t>
      </w:r>
      <w:r w:rsidR="0088399E">
        <w:t>“</w:t>
      </w:r>
      <w:r w:rsidR="00883D98">
        <w:rPr>
          <w:rStyle w:val="Funotenzeichen"/>
        </w:rPr>
        <w:footnoteReference w:id="13"/>
      </w:r>
      <w:r>
        <w:t>), in der Treue zueinander, bis dass der Tod die beiden Gatten scheidet, und – ganz wesentlich, soweit möglich – in Offenheit für die Kinder, die Gott den Ga</w:t>
      </w:r>
      <w:r>
        <w:t>t</w:t>
      </w:r>
      <w:r>
        <w:t>ten schenken will.</w:t>
      </w:r>
      <w:r w:rsidR="006F659B">
        <w:rPr>
          <w:rStyle w:val="Funotenzeichen"/>
        </w:rPr>
        <w:footnoteReference w:id="14"/>
      </w:r>
    </w:p>
    <w:p w:rsidR="002F2142" w:rsidRDefault="00D673D1" w:rsidP="00FB5FD6">
      <w:r>
        <w:t xml:space="preserve">Damit eine </w:t>
      </w:r>
      <w:r w:rsidRPr="00351038">
        <w:t>gültige Ehe</w:t>
      </w:r>
      <w:r>
        <w:t xml:space="preserve"> zustande kommt, </w:t>
      </w:r>
      <w:r w:rsidR="00C57D84">
        <w:t>müssen</w:t>
      </w:r>
      <w:r>
        <w:t xml:space="preserve"> bestimmte </w:t>
      </w:r>
      <w:r w:rsidRPr="00351038">
        <w:t>Voraussetzungen</w:t>
      </w:r>
      <w:r w:rsidR="00C57D84">
        <w:t xml:space="preserve"> geg</w:t>
      </w:r>
      <w:r w:rsidR="00C57D84">
        <w:t>e</w:t>
      </w:r>
      <w:r w:rsidR="00C57D84">
        <w:t>ben sein</w:t>
      </w:r>
      <w:r>
        <w:t xml:space="preserve">: Die Ehefähigkeit ist mit </w:t>
      </w:r>
      <w:r w:rsidR="00EF520C">
        <w:t>jenem</w:t>
      </w:r>
      <w:r>
        <w:t xml:space="preserve"> </w:t>
      </w:r>
      <w:r w:rsidRPr="00351038">
        <w:t>Alter</w:t>
      </w:r>
      <w:r>
        <w:t xml:space="preserve"> verbunden</w:t>
      </w:r>
      <w:r w:rsidR="00EF520C">
        <w:t>, ab dem der Mensch nicht nur biologisch reif ist für das eheliche Leben, sondern auch geistig-seelisch</w:t>
      </w:r>
      <w:r>
        <w:t xml:space="preserve"> (die Ki</w:t>
      </w:r>
      <w:r>
        <w:t>r</w:t>
      </w:r>
      <w:r>
        <w:t>che geht von einem Minimum von 16 Jahren beim Mann und von 14 Jahren bei der Frau aus</w:t>
      </w:r>
      <w:r>
        <w:rPr>
          <w:rStyle w:val="Funotenzeichen"/>
        </w:rPr>
        <w:footnoteReference w:id="15"/>
      </w:r>
      <w:r>
        <w:t xml:space="preserve">). </w:t>
      </w:r>
      <w:r w:rsidR="00C57D84">
        <w:t>Zur</w:t>
      </w:r>
      <w:r>
        <w:t xml:space="preserve"> ganzheitliche</w:t>
      </w:r>
      <w:r w:rsidR="00C57D84">
        <w:t>n</w:t>
      </w:r>
      <w:r>
        <w:t xml:space="preserve"> Reife der Personen gehört vor allem die </w:t>
      </w:r>
      <w:r w:rsidRPr="00351038">
        <w:t>Einsicht</w:t>
      </w:r>
      <w:r>
        <w:t xml:space="preserve"> in das Wesen der Ehe und die dazu nötige innere und äußere </w:t>
      </w:r>
      <w:r w:rsidRPr="00351038">
        <w:t>Freiheit</w:t>
      </w:r>
      <w:r>
        <w:t xml:space="preserve"> (Urteilsfähigkeit). Ebenso wichtig ist die </w:t>
      </w:r>
      <w:r w:rsidRPr="00351038">
        <w:t>Fähigkeit</w:t>
      </w:r>
      <w:r>
        <w:t xml:space="preserve"> eines Menschen, </w:t>
      </w:r>
      <w:r w:rsidR="00E2048A">
        <w:t>die wesentlichen Verpflichtungen einer Ehe auf Dauer übernehmen zu können (Eheführungsfähigkeit)</w:t>
      </w:r>
      <w:r>
        <w:t>.</w:t>
      </w:r>
      <w:r w:rsidR="00EF520C">
        <w:rPr>
          <w:rStyle w:val="Funotenzeichen"/>
        </w:rPr>
        <w:footnoteReference w:id="16"/>
      </w:r>
      <w:r w:rsidR="00FB4B88">
        <w:t xml:space="preserve"> Es gibt ve</w:t>
      </w:r>
      <w:r w:rsidR="00FB4B88">
        <w:t>r</w:t>
      </w:r>
      <w:r w:rsidR="00FB4B88">
        <w:t>schiedene Ehehindernisse, die von vornherein ausschließen, dass eine gültige Ehe geschlossen werden kann</w:t>
      </w:r>
      <w:r w:rsidR="00C57D84">
        <w:t>, solange diese Hindernisse bestehen</w:t>
      </w:r>
      <w:r w:rsidR="00FB4B88">
        <w:t>.</w:t>
      </w:r>
      <w:r w:rsidR="00FB4B88">
        <w:rPr>
          <w:rStyle w:val="Funotenzeichen"/>
        </w:rPr>
        <w:footnoteReference w:id="17"/>
      </w:r>
      <w:r>
        <w:t xml:space="preserve"> </w:t>
      </w:r>
      <w:r w:rsidRPr="00351038">
        <w:t xml:space="preserve">Den Bund der Ehe </w:t>
      </w:r>
      <w:r w:rsidR="00DC75DC" w:rsidRPr="00DC75DC">
        <w:rPr>
          <w:highlight w:val="yellow"/>
        </w:rPr>
        <w:t>181</w:t>
      </w:r>
      <w:r w:rsidR="00DC75DC">
        <w:t xml:space="preserve"> </w:t>
      </w:r>
      <w:r w:rsidRPr="00351038">
        <w:t>begründet der Konsens</w:t>
      </w:r>
      <w:r>
        <w:t xml:space="preserve">, d.h. die freie Zustimmung der Gatten. Durch ihr </w:t>
      </w:r>
      <w:r w:rsidRPr="00351038">
        <w:t>Ja-Wort</w:t>
      </w:r>
      <w:r>
        <w:t xml:space="preserve"> </w:t>
      </w:r>
      <w:r>
        <w:lastRenderedPageBreak/>
        <w:t xml:space="preserve">nehmen </w:t>
      </w:r>
      <w:r w:rsidR="00883D98">
        <w:t>sich Mann und Frau</w:t>
      </w:r>
      <w:r>
        <w:t xml:space="preserve"> gegenseitig als Gatten an und schenken sich unwide</w:t>
      </w:r>
      <w:r>
        <w:t>r</w:t>
      </w:r>
      <w:r>
        <w:t>ruflich in einem Bund der Liebe.</w:t>
      </w:r>
      <w:r w:rsidR="00BF40D2">
        <w:rPr>
          <w:rStyle w:val="Funotenzeichen"/>
        </w:rPr>
        <w:footnoteReference w:id="18"/>
      </w:r>
    </w:p>
    <w:p w:rsidR="00D673D1" w:rsidRDefault="00D673D1" w:rsidP="00FB5FD6">
      <w:r>
        <w:t xml:space="preserve">Gott heiligt diesen Bund </w:t>
      </w:r>
      <w:r w:rsidR="006B374C">
        <w:t xml:space="preserve">der Liebe und des Lebens </w:t>
      </w:r>
      <w:r>
        <w:t>zwischen Getauften in besond</w:t>
      </w:r>
      <w:r>
        <w:t>e</w:t>
      </w:r>
      <w:r>
        <w:t xml:space="preserve">rer Weise, indem er ihn durch Jesus Christus zur </w:t>
      </w:r>
      <w:r w:rsidRPr="00351038">
        <w:t>Würde eines Sakraments</w:t>
      </w:r>
      <w:r>
        <w:t xml:space="preserve"> erhoben hat (vgl. Hochzeit zu Kana</w:t>
      </w:r>
      <w:r w:rsidR="00397631">
        <w:t xml:space="preserve">, </w:t>
      </w:r>
      <w:proofErr w:type="spellStart"/>
      <w:r w:rsidR="00397631">
        <w:t>Joh</w:t>
      </w:r>
      <w:proofErr w:type="spellEnd"/>
      <w:r w:rsidR="00397631">
        <w:t xml:space="preserve"> 2,1-11</w:t>
      </w:r>
      <w:r>
        <w:t>).</w:t>
      </w:r>
      <w:r w:rsidR="00397631">
        <w:rPr>
          <w:rStyle w:val="Funotenzeichen"/>
        </w:rPr>
        <w:footnoteReference w:id="19"/>
      </w:r>
      <w:r w:rsidR="00D20CDA">
        <w:t xml:space="preserve"> Das Sakrament setzt </w:t>
      </w:r>
      <w:r w:rsidR="00397631">
        <w:t>all das</w:t>
      </w:r>
      <w:r w:rsidR="00D20CDA">
        <w:t xml:space="preserve"> voraus, was von Natur aus zur Ehe gehört. Die natürliche Liebe der Gatten wird hineingenommen in die Liebe Gottes. Gott ist der Quell und Ursprung jeder Liebe. Gott ist der absolut Treue; er </w:t>
      </w:r>
      <w:r w:rsidR="00E2048A">
        <w:t>verlässt</w:t>
      </w:r>
      <w:r w:rsidR="00D20CDA">
        <w:t xml:space="preserve"> </w:t>
      </w:r>
      <w:r w:rsidR="00397631">
        <w:t>sein</w:t>
      </w:r>
      <w:r w:rsidR="00D20CDA">
        <w:t xml:space="preserve"> Volk nicht: Schon im Alten Testament wird die </w:t>
      </w:r>
      <w:r w:rsidR="00D20CDA" w:rsidRPr="00351038">
        <w:t>unverbrüchl</w:t>
      </w:r>
      <w:r w:rsidR="00D20CDA" w:rsidRPr="00351038">
        <w:t>i</w:t>
      </w:r>
      <w:r w:rsidR="00D20CDA" w:rsidRPr="00351038">
        <w:t>che Treue Gottes zu seinem Volk</w:t>
      </w:r>
      <w:r w:rsidR="00D20CDA">
        <w:t xml:space="preserve"> im Bild des Ehebundes beschrieben (vgl. </w:t>
      </w:r>
      <w:proofErr w:type="spellStart"/>
      <w:r w:rsidR="00D20CDA">
        <w:t>Hosea</w:t>
      </w:r>
      <w:proofErr w:type="spellEnd"/>
      <w:r w:rsidR="00D20CDA">
        <w:t xml:space="preserve">, das Hohelied etc.). Im Neuen Bund hat </w:t>
      </w:r>
      <w:r w:rsidR="00397631">
        <w:t xml:space="preserve">sich </w:t>
      </w:r>
      <w:r w:rsidR="00D20CDA" w:rsidRPr="00351038">
        <w:t>Jesus Christus</w:t>
      </w:r>
      <w:r w:rsidR="00D20CDA">
        <w:t xml:space="preserve"> seiner </w:t>
      </w:r>
      <w:r w:rsidR="00D20CDA" w:rsidRPr="00351038">
        <w:t>Kirche</w:t>
      </w:r>
      <w:r w:rsidR="00D20CDA">
        <w:t xml:space="preserve"> (d.h. der Gemeinschaft aller Gläubigen) </w:t>
      </w:r>
      <w:r w:rsidR="00D20CDA" w:rsidRPr="00351038">
        <w:t>ganz</w:t>
      </w:r>
      <w:r w:rsidR="006B374C" w:rsidRPr="00351038">
        <w:t xml:space="preserve"> und unwiderruflich</w:t>
      </w:r>
      <w:r w:rsidR="00D20CDA" w:rsidRPr="00351038">
        <w:t xml:space="preserve"> hingegeben</w:t>
      </w:r>
      <w:r w:rsidR="00D20CDA">
        <w:t xml:space="preserve"> in seinem </w:t>
      </w:r>
      <w:r w:rsidR="00D20CDA" w:rsidRPr="00351038">
        <w:t>Opfer am Kreuz</w:t>
      </w:r>
      <w:r w:rsidR="008D0DC2">
        <w:t xml:space="preserve">, in seinem Leiden und Sterben. </w:t>
      </w:r>
      <w:r w:rsidR="00D20CDA">
        <w:t xml:space="preserve">Gottes Treue bleibt auch da bestehen, wo der Mensch von Gott abfällt, </w:t>
      </w:r>
      <w:r w:rsidR="00397631">
        <w:t>wenn er</w:t>
      </w:r>
      <w:r w:rsidR="00D20CDA">
        <w:t xml:space="preserve"> sich in der </w:t>
      </w:r>
      <w:r w:rsidR="008D0DC2">
        <w:t xml:space="preserve">(schweren) </w:t>
      </w:r>
      <w:r w:rsidR="00D20CDA">
        <w:t xml:space="preserve">Sünde von Gott trennt. Die christliche </w:t>
      </w:r>
      <w:r w:rsidR="00D20CDA" w:rsidRPr="00351038">
        <w:t>Ehe</w:t>
      </w:r>
      <w:r w:rsidR="00D20CDA">
        <w:t xml:space="preserve"> ist </w:t>
      </w:r>
      <w:r w:rsidR="00D20CDA" w:rsidRPr="00351038">
        <w:t>Teilhabe an dieser Treue Gottes</w:t>
      </w:r>
      <w:r w:rsidR="00D20CDA">
        <w:t xml:space="preserve"> zu den Menschen.</w:t>
      </w:r>
    </w:p>
    <w:p w:rsidR="005C2AB5" w:rsidRDefault="00866062" w:rsidP="00FB5FD6">
      <w:r>
        <w:t xml:space="preserve">In der </w:t>
      </w:r>
      <w:r w:rsidRPr="00351038">
        <w:t>Offenheit für Kinder</w:t>
      </w:r>
      <w:r>
        <w:t xml:space="preserve"> werden die Gatten zu </w:t>
      </w:r>
      <w:r w:rsidRPr="00351038">
        <w:t>Mitarbeitern des Schöpfers</w:t>
      </w:r>
      <w:r>
        <w:t>, der am Ursprung jedes Lebens steht. Die kirchliche Lehre, wonach Gott die Seele jedes Menschen auf unmittelbare Weise erschafft</w:t>
      </w:r>
      <w:r w:rsidR="00AE4B46">
        <w:rPr>
          <w:rStyle w:val="Funotenzeichen"/>
        </w:rPr>
        <w:footnoteReference w:id="20"/>
      </w:r>
      <w:r>
        <w:t xml:space="preserve">, korrespondiert mit der biblischen Überzeugung, dass </w:t>
      </w:r>
      <w:r w:rsidRPr="00351038">
        <w:t>Gott uns alle ganz persönlich ins Dasein ruft</w:t>
      </w:r>
      <w:r>
        <w:t xml:space="preserve"> und wir ihm auf ei</w:t>
      </w:r>
      <w:r>
        <w:t>n</w:t>
      </w:r>
      <w:r>
        <w:t>zigartige Weise kostbar sind.</w:t>
      </w:r>
      <w:r w:rsidR="000F3103">
        <w:rPr>
          <w:rStyle w:val="Funotenzeichen"/>
        </w:rPr>
        <w:footnoteReference w:id="21"/>
      </w:r>
      <w:r>
        <w:t xml:space="preserve"> Der </w:t>
      </w:r>
      <w:r w:rsidRPr="00351038">
        <w:t>Sinn der Ehe</w:t>
      </w:r>
      <w:r>
        <w:t xml:space="preserve"> ist es, dass Mann und Frau </w:t>
      </w:r>
      <w:r w:rsidRPr="00351038">
        <w:t>füre</w:t>
      </w:r>
      <w:r w:rsidRPr="00351038">
        <w:t>i</w:t>
      </w:r>
      <w:r w:rsidRPr="00351038">
        <w:t>nander da</w:t>
      </w:r>
      <w:r>
        <w:t xml:space="preserve"> sind </w:t>
      </w:r>
      <w:r w:rsidRPr="00351038">
        <w:t>in Liebe</w:t>
      </w:r>
      <w:r>
        <w:t xml:space="preserve">, was </w:t>
      </w:r>
      <w:r w:rsidR="006B45B3">
        <w:t>ihre</w:t>
      </w:r>
      <w:r>
        <w:t xml:space="preserve"> </w:t>
      </w:r>
      <w:r w:rsidRPr="00351038">
        <w:t xml:space="preserve">sexuelle Gemeinschaft </w:t>
      </w:r>
      <w:r>
        <w:t xml:space="preserve">mit einschließt. Die </w:t>
      </w:r>
      <w:r w:rsidRPr="00351038">
        <w:t>Gan</w:t>
      </w:r>
      <w:r w:rsidRPr="00351038">
        <w:t>z</w:t>
      </w:r>
      <w:r w:rsidRPr="00351038">
        <w:t>hingabe ihrer Liebe öffnet sie für das Geschenk des Lebens</w:t>
      </w:r>
      <w:r>
        <w:t xml:space="preserve">, </w:t>
      </w:r>
      <w:r w:rsidR="00EF08D6">
        <w:t>indem</w:t>
      </w:r>
      <w:r>
        <w:t xml:space="preserve"> sie </w:t>
      </w:r>
      <w:r w:rsidRPr="00351038">
        <w:t>Ja</w:t>
      </w:r>
      <w:r>
        <w:t xml:space="preserve"> sagen </w:t>
      </w:r>
      <w:r w:rsidRPr="00351038">
        <w:t>zu Kindern</w:t>
      </w:r>
      <w:r>
        <w:t>.</w:t>
      </w:r>
      <w:r w:rsidR="00F11A4D">
        <w:rPr>
          <w:rStyle w:val="Funotenzeichen"/>
        </w:rPr>
        <w:footnoteReference w:id="22"/>
      </w:r>
      <w:r>
        <w:t xml:space="preserve"> Die beiden Sinngehalte des ehelichen Aktes (liebende Vereinigung und Fortpflanzung) dürfen nicht voneinander getrennt und isoliert werden. Daher lehnt die Kirche </w:t>
      </w:r>
      <w:r w:rsidR="00DC75DC" w:rsidRPr="00DC75DC">
        <w:rPr>
          <w:highlight w:val="yellow"/>
        </w:rPr>
        <w:t>183</w:t>
      </w:r>
      <w:r w:rsidR="00DC75DC">
        <w:t xml:space="preserve"> </w:t>
      </w:r>
      <w:r>
        <w:t>jede Manipulation dieses anthropologischen Zusammenhangs, der weit über</w:t>
      </w:r>
      <w:r w:rsidR="005C2AB5">
        <w:t xml:space="preserve"> das Biologische hinausgeht</w:t>
      </w:r>
      <w:r w:rsidR="00EF08D6">
        <w:t>,</w:t>
      </w:r>
      <w:r w:rsidR="005C2AB5">
        <w:t xml:space="preserve"> ab</w:t>
      </w:r>
      <w:r w:rsidR="00EF08D6">
        <w:t xml:space="preserve"> – sei es durch künstliche Verhütung oder auch durch künstliche Befruchtung</w:t>
      </w:r>
      <w:r w:rsidR="005C2AB5">
        <w:t>.</w:t>
      </w:r>
      <w:r w:rsidR="005C2AB5">
        <w:rPr>
          <w:rStyle w:val="Funotenzeichen"/>
        </w:rPr>
        <w:footnoteReference w:id="23"/>
      </w:r>
    </w:p>
    <w:p w:rsidR="00866062" w:rsidRDefault="00866062" w:rsidP="00FB5FD6">
      <w:r>
        <w:lastRenderedPageBreak/>
        <w:t xml:space="preserve">Die </w:t>
      </w:r>
      <w:r w:rsidRPr="00351038">
        <w:t>Entscheidung über die Zahl der Kinder</w:t>
      </w:r>
      <w:r>
        <w:t xml:space="preserve"> müssen die </w:t>
      </w:r>
      <w:r w:rsidRPr="00351038">
        <w:t>Gatten</w:t>
      </w:r>
      <w:r>
        <w:t xml:space="preserve"> selbst fällen, und zwar im Angesicht Gottes und unter Beachtung aller relevanten Faktoren.</w:t>
      </w:r>
      <w:r w:rsidR="00DE12BC">
        <w:rPr>
          <w:rStyle w:val="Funotenzeichen"/>
        </w:rPr>
        <w:footnoteReference w:id="24"/>
      </w:r>
      <w:r>
        <w:t xml:space="preserve"> Die </w:t>
      </w:r>
      <w:r w:rsidRPr="00351038">
        <w:t>Methode der Geburtenregelung</w:t>
      </w:r>
      <w:r>
        <w:t xml:space="preserve"> ist jedoch nicht ihrer eigenen Entscheidung freigestellt, da es </w:t>
      </w:r>
      <w:r w:rsidRPr="00351038">
        <w:t>objektive Kriterien</w:t>
      </w:r>
      <w:r>
        <w:t xml:space="preserve"> gibt, welche mit der Würde der Personen und der Eigenart der ehelichen Liebe zu tun haben.</w:t>
      </w:r>
      <w:r>
        <w:rPr>
          <w:rStyle w:val="Funotenzeichen"/>
        </w:rPr>
        <w:footnoteReference w:id="25"/>
      </w:r>
    </w:p>
    <w:p w:rsidR="00857882" w:rsidRPr="00351038" w:rsidRDefault="00857882" w:rsidP="00FB5FD6">
      <w:pPr>
        <w:pStyle w:val="berschrift1"/>
        <w:numPr>
          <w:ilvl w:val="0"/>
          <w:numId w:val="6"/>
        </w:numPr>
      </w:pPr>
      <w:r w:rsidRPr="00351038">
        <w:t>Spezielle Herausforderungen und Probleme heute</w:t>
      </w:r>
    </w:p>
    <w:p w:rsidR="000F4614" w:rsidRDefault="00B646CC" w:rsidP="00FB5FD6">
      <w:r>
        <w:t xml:space="preserve">Spezielle Probleme und Herausforderungen für Ehe und Familie </w:t>
      </w:r>
      <w:r w:rsidR="0089795B">
        <w:t xml:space="preserve">in der Gegenwart </w:t>
      </w:r>
      <w:r>
        <w:t xml:space="preserve">können </w:t>
      </w:r>
      <w:r w:rsidR="0089795B">
        <w:t>mit</w:t>
      </w:r>
      <w:r>
        <w:t xml:space="preserve"> den Stichworten </w:t>
      </w:r>
      <w:r w:rsidR="000F4614">
        <w:t>unverheiratetes Zusammenleben, Scheidung</w:t>
      </w:r>
      <w:r w:rsidR="00CA4269">
        <w:t>en</w:t>
      </w:r>
      <w:r w:rsidR="000F4614">
        <w:t xml:space="preserve">, </w:t>
      </w:r>
      <w:r w:rsidR="00CA4269">
        <w:t>zivile Wiederheirat</w:t>
      </w:r>
      <w:r w:rsidR="000F4614">
        <w:t xml:space="preserve">, Abtreibung und Verhütung, </w:t>
      </w:r>
      <w:r>
        <w:t xml:space="preserve">Künstliche Befruchtung (IVF), Gewalt in der Ehe, sexueller Missbrauch, </w:t>
      </w:r>
      <w:r w:rsidR="000D1FD5">
        <w:t>Probleme</w:t>
      </w:r>
      <w:r w:rsidR="00FF2130">
        <w:t xml:space="preserve"> bei der </w:t>
      </w:r>
      <w:r>
        <w:t xml:space="preserve">Erziehung der Kinder sowie </w:t>
      </w:r>
      <w:r w:rsidR="000D1FD5">
        <w:t>die Anli</w:t>
      </w:r>
      <w:r w:rsidR="000D1FD5">
        <w:t>e</w:t>
      </w:r>
      <w:r w:rsidR="000D1FD5">
        <w:t>gen in Bezug</w:t>
      </w:r>
      <w:r w:rsidR="00FF2130">
        <w:t xml:space="preserve"> auf die Würde und Berufung</w:t>
      </w:r>
      <w:r w:rsidR="000F4614">
        <w:t xml:space="preserve"> der Frau</w:t>
      </w:r>
      <w:r w:rsidR="00DE12BC">
        <w:t xml:space="preserve"> </w:t>
      </w:r>
      <w:r w:rsidR="00A83CEE">
        <w:t>benannt</w:t>
      </w:r>
      <w:r w:rsidR="00DE12BC">
        <w:t xml:space="preserve"> werden.</w:t>
      </w:r>
    </w:p>
    <w:p w:rsidR="000F4614" w:rsidRDefault="00B646CC" w:rsidP="00FB5FD6">
      <w:r>
        <w:t xml:space="preserve">Im Folgenden </w:t>
      </w:r>
      <w:r w:rsidR="000D1FD5">
        <w:t>wird</w:t>
      </w:r>
      <w:r>
        <w:t xml:space="preserve"> auf zwei </w:t>
      </w:r>
      <w:r w:rsidR="0088399E">
        <w:t>„</w:t>
      </w:r>
      <w:r w:rsidRPr="00351038">
        <w:t>neuralgische Punkte</w:t>
      </w:r>
      <w:r w:rsidR="0088399E">
        <w:t>“</w:t>
      </w:r>
      <w:r>
        <w:t xml:space="preserve"> ein</w:t>
      </w:r>
      <w:r w:rsidR="000D1FD5">
        <w:t>gegangen: Angesprochen we</w:t>
      </w:r>
      <w:r w:rsidR="000D1FD5">
        <w:t>r</w:t>
      </w:r>
      <w:r w:rsidR="000D1FD5">
        <w:t xml:space="preserve">den </w:t>
      </w:r>
      <w:r w:rsidR="0089795B">
        <w:t xml:space="preserve">die </w:t>
      </w:r>
      <w:r>
        <w:t>k</w:t>
      </w:r>
      <w:r w:rsidR="000F4614">
        <w:t>irchliche</w:t>
      </w:r>
      <w:r w:rsidR="0089795B">
        <w:t>n</w:t>
      </w:r>
      <w:r w:rsidR="000F4614">
        <w:t xml:space="preserve"> Weisungen zum </w:t>
      </w:r>
      <w:r w:rsidR="000F4614" w:rsidRPr="00351038">
        <w:t>Kommunionempfang wiederverheirateter G</w:t>
      </w:r>
      <w:r w:rsidR="000F4614" w:rsidRPr="00351038">
        <w:t>e</w:t>
      </w:r>
      <w:r w:rsidR="000F4614" w:rsidRPr="00351038">
        <w:t>schiedener</w:t>
      </w:r>
      <w:r w:rsidR="000F4614">
        <w:t xml:space="preserve"> und zu </w:t>
      </w:r>
      <w:r w:rsidR="000F4614" w:rsidRPr="00351038">
        <w:t xml:space="preserve">liturgischen Segnungen von </w:t>
      </w:r>
      <w:r w:rsidR="000D1FD5">
        <w:t xml:space="preserve">(zivilen) </w:t>
      </w:r>
      <w:r w:rsidR="000F4614" w:rsidRPr="00351038">
        <w:t>Zweitehen</w:t>
      </w:r>
      <w:r>
        <w:t>. Das Anliegen dieser Ausführung</w:t>
      </w:r>
      <w:r w:rsidR="00FF2130">
        <w:t>en</w:t>
      </w:r>
      <w:r>
        <w:t xml:space="preserve"> ist es, die kirchliche Lehre und Disziplin in Kürze darzustellen und nach den damit verbundenen</w:t>
      </w:r>
      <w:r w:rsidR="0089795B">
        <w:t xml:space="preserve"> inhaltlichen</w:t>
      </w:r>
      <w:r>
        <w:t xml:space="preserve"> Anliegen zu fragen. All dies soll im Dienst einer </w:t>
      </w:r>
      <w:r w:rsidRPr="00351038">
        <w:t>Pastoral</w:t>
      </w:r>
      <w:r>
        <w:t xml:space="preserve"> stehen, die sich nicht von der Wahrheit der Offenbarung und der </w:t>
      </w:r>
      <w:r w:rsidR="00DC75DC" w:rsidRPr="00DC75DC">
        <w:rPr>
          <w:highlight w:val="yellow"/>
        </w:rPr>
        <w:t>184</w:t>
      </w:r>
      <w:r w:rsidR="00DC75DC">
        <w:t xml:space="preserve"> </w:t>
      </w:r>
      <w:r w:rsidR="0089795B">
        <w:t xml:space="preserve">damit verbundenen </w:t>
      </w:r>
      <w:r>
        <w:t>natürlich</w:t>
      </w:r>
      <w:r w:rsidR="004C0F67">
        <w:t xml:space="preserve">en sittlichen Erkenntnis </w:t>
      </w:r>
      <w:r>
        <w:t xml:space="preserve">entfernt, sondern dem Menschen gerade durch die </w:t>
      </w:r>
      <w:r w:rsidRPr="00351038">
        <w:t>Treue zur Wahrheit in Liebe</w:t>
      </w:r>
      <w:r>
        <w:t xml:space="preserve"> wirklich dient.</w:t>
      </w:r>
      <w:r w:rsidR="00D23F32">
        <w:rPr>
          <w:rStyle w:val="Funotenzeichen"/>
        </w:rPr>
        <w:footnoteReference w:id="26"/>
      </w:r>
    </w:p>
    <w:p w:rsidR="00A83CEE" w:rsidRDefault="0089795B" w:rsidP="00FB5FD6">
      <w:r>
        <w:t xml:space="preserve">Zuerst </w:t>
      </w:r>
      <w:r w:rsidR="00222D9C">
        <w:t>sollte man sich</w:t>
      </w:r>
      <w:r>
        <w:t xml:space="preserve"> um eine Klärung dessen bemühen, was mit der </w:t>
      </w:r>
      <w:r w:rsidRPr="00A83CEE">
        <w:rPr>
          <w:i/>
        </w:rPr>
        <w:t>Unauflöslic</w:t>
      </w:r>
      <w:r w:rsidRPr="00A83CEE">
        <w:rPr>
          <w:i/>
        </w:rPr>
        <w:t>h</w:t>
      </w:r>
      <w:r w:rsidRPr="00A83CEE">
        <w:rPr>
          <w:i/>
        </w:rPr>
        <w:t>keit der Ehe</w:t>
      </w:r>
      <w:r>
        <w:t xml:space="preserve"> gemeint und </w:t>
      </w:r>
      <w:r w:rsidR="0026078E">
        <w:t xml:space="preserve">inhaltlich </w:t>
      </w:r>
      <w:r>
        <w:t xml:space="preserve">verbunden ist. Bekanntlich versprechen einander die Brautleute bei der kirchlichen Trauung die gegenseitige Liebe und Treue, </w:t>
      </w:r>
      <w:r w:rsidR="0088399E">
        <w:t>„</w:t>
      </w:r>
      <w:r w:rsidRPr="00351038">
        <w:t>bis dass der Tod sie scheidet</w:t>
      </w:r>
      <w:r w:rsidR="0088399E">
        <w:t>“</w:t>
      </w:r>
      <w:r>
        <w:t xml:space="preserve">. Verschiedentlich ist angemerkt worden, </w:t>
      </w:r>
      <w:r w:rsidRPr="00351038">
        <w:t>dieses Verspr</w:t>
      </w:r>
      <w:r w:rsidRPr="00351038">
        <w:t>e</w:t>
      </w:r>
      <w:r w:rsidRPr="00351038">
        <w:t>chen würde den Menschen überfordern</w:t>
      </w:r>
      <w:r>
        <w:t xml:space="preserve">. Niemand wisse schließlich, wie er in einigen Jahren oder Jahrzehnten empfinde und </w:t>
      </w:r>
      <w:r w:rsidR="0026078E">
        <w:t xml:space="preserve">dann innerlich </w:t>
      </w:r>
      <w:r>
        <w:t xml:space="preserve">verfasst sei. </w:t>
      </w:r>
      <w:r w:rsidR="004C0F67">
        <w:t>Auch wisse man nicht, ob der Partner im Grunde noch derselbe Mensch sei, den man geheiratet h</w:t>
      </w:r>
      <w:r w:rsidR="004C0F67">
        <w:t>a</w:t>
      </w:r>
      <w:r w:rsidR="004C0F67">
        <w:lastRenderedPageBreak/>
        <w:t xml:space="preserve">be. </w:t>
      </w:r>
      <w:r>
        <w:t>Es sei daher unzumutbar und aufgrund der gestiegenen Lebenserwartung noc</w:t>
      </w:r>
      <w:r>
        <w:t>h</w:t>
      </w:r>
      <w:r>
        <w:t xml:space="preserve">mals unrealistischer </w:t>
      </w:r>
      <w:r w:rsidR="0026078E">
        <w:t xml:space="preserve">als bisher </w:t>
      </w:r>
      <w:r>
        <w:t xml:space="preserve">geworden, dass Paare einander die Treue bis zum Tod versprechen und diese auch tatsächlich halten. </w:t>
      </w:r>
      <w:r w:rsidR="004C0F67">
        <w:t>B</w:t>
      </w:r>
      <w:r>
        <w:t>esser und ehrlicher</w:t>
      </w:r>
      <w:r w:rsidR="004C0F67">
        <w:t xml:space="preserve"> sei es</w:t>
      </w:r>
      <w:r>
        <w:t xml:space="preserve"> – so wird argumentiert – </w:t>
      </w:r>
      <w:r w:rsidR="004C0F67">
        <w:t>zuzugeben,</w:t>
      </w:r>
      <w:r>
        <w:t xml:space="preserve"> </w:t>
      </w:r>
      <w:r w:rsidR="0026078E">
        <w:t>eine</w:t>
      </w:r>
      <w:r>
        <w:t xml:space="preserve"> Beziehung </w:t>
      </w:r>
      <w:r w:rsidR="0026078E">
        <w:t xml:space="preserve">sei </w:t>
      </w:r>
      <w:r w:rsidR="0088399E">
        <w:t>„</w:t>
      </w:r>
      <w:r>
        <w:t>zerstört</w:t>
      </w:r>
      <w:r w:rsidR="0088399E">
        <w:t>“</w:t>
      </w:r>
      <w:r>
        <w:t xml:space="preserve"> und </w:t>
      </w:r>
      <w:r w:rsidR="0088399E">
        <w:t>„</w:t>
      </w:r>
      <w:r>
        <w:t>zerrüttet</w:t>
      </w:r>
      <w:r w:rsidR="0088399E">
        <w:t>“</w:t>
      </w:r>
      <w:r w:rsidR="004C0F67">
        <w:t xml:space="preserve">, </w:t>
      </w:r>
      <w:r>
        <w:t xml:space="preserve">und sich in korrekter Weise voneinander </w:t>
      </w:r>
      <w:r w:rsidR="004C0F67">
        <w:t xml:space="preserve">zu </w:t>
      </w:r>
      <w:r>
        <w:t>trennen</w:t>
      </w:r>
      <w:r w:rsidR="0026078E">
        <w:t xml:space="preserve"> </w:t>
      </w:r>
      <w:r>
        <w:t xml:space="preserve">als </w:t>
      </w:r>
      <w:r w:rsidR="004C0F67">
        <w:t xml:space="preserve">dass man </w:t>
      </w:r>
      <w:r>
        <w:t>sich gegenseitig mit dem unerfüllbaren Versprechen unauflöslicher Treue weiter belaste</w:t>
      </w:r>
      <w:r w:rsidR="00BA6B00">
        <w:t>t</w:t>
      </w:r>
      <w:r w:rsidR="004C0F67">
        <w:t>.</w:t>
      </w:r>
      <w:r w:rsidR="0088399E">
        <w:rPr>
          <w:rStyle w:val="Funotenzeichen"/>
        </w:rPr>
        <w:footnoteReference w:id="27"/>
      </w:r>
      <w:r w:rsidR="00822945">
        <w:t xml:space="preserve"> Eine solche Sichtweise bezieht </w:t>
      </w:r>
      <w:r w:rsidR="0026078E">
        <w:t xml:space="preserve">nicht nur </w:t>
      </w:r>
      <w:r w:rsidR="00822945">
        <w:t xml:space="preserve">das </w:t>
      </w:r>
      <w:r w:rsidR="00BA6B00">
        <w:t xml:space="preserve">tatsächlich mögliche </w:t>
      </w:r>
      <w:r w:rsidR="00822945">
        <w:t xml:space="preserve">Scheitern von Beziehungen mit ein, sondern rechnet von vornherein damit, dass die </w:t>
      </w:r>
      <w:r w:rsidR="00822945" w:rsidRPr="00351038">
        <w:t>lebenslange Ehe nicht (mehr) gelingen kann</w:t>
      </w:r>
      <w:r w:rsidR="00822945">
        <w:t>.</w:t>
      </w:r>
      <w:r w:rsidR="0026078E">
        <w:t xml:space="preserve"> </w:t>
      </w:r>
      <w:r w:rsidR="000E5DF3">
        <w:t xml:space="preserve">Die Eheleute müssten </w:t>
      </w:r>
      <w:r w:rsidR="004C0F67">
        <w:t>nach</w:t>
      </w:r>
      <w:r w:rsidR="000E5DF3">
        <w:t xml:space="preserve"> dieser Logik bei der Trauung </w:t>
      </w:r>
      <w:r w:rsidR="0026078E">
        <w:t>eigentlich versprechen, einander treu sein zu wollen,</w:t>
      </w:r>
      <w:r w:rsidR="000E5DF3">
        <w:t xml:space="preserve"> „</w:t>
      </w:r>
      <w:r w:rsidR="000E5DF3" w:rsidRPr="00351038">
        <w:t>bis die Liebe erkaltet</w:t>
      </w:r>
      <w:r w:rsidR="000E5DF3">
        <w:t>“</w:t>
      </w:r>
      <w:r w:rsidR="00CA23C7">
        <w:t xml:space="preserve"> oder ihre Bezi</w:t>
      </w:r>
      <w:r w:rsidR="00CA23C7">
        <w:t>e</w:t>
      </w:r>
      <w:r w:rsidR="00CA23C7">
        <w:t>hung am Ende ist</w:t>
      </w:r>
      <w:r w:rsidR="000E5DF3">
        <w:t>.</w:t>
      </w:r>
      <w:r w:rsidR="00822945">
        <w:t xml:space="preserve"> Im Grunde handelt es sich </w:t>
      </w:r>
      <w:r w:rsidR="0026078E">
        <w:t xml:space="preserve">bei dieser Auffassung </w:t>
      </w:r>
      <w:r w:rsidR="00822945">
        <w:t>um eine Kapit</w:t>
      </w:r>
      <w:r w:rsidR="00822945">
        <w:t>u</w:t>
      </w:r>
      <w:r w:rsidR="00822945">
        <w:t>lation vor dem Zeitgeist und vo</w:t>
      </w:r>
      <w:r w:rsidR="00A83CEE">
        <w:t>r der menschlichen Schwachheit.</w:t>
      </w:r>
    </w:p>
    <w:p w:rsidR="00CE083B" w:rsidRDefault="00822945" w:rsidP="00FB5FD6">
      <w:r>
        <w:t>Eine zugleich realistische, aber auch hoffnun</w:t>
      </w:r>
      <w:r w:rsidR="000E5DF3">
        <w:t>g</w:t>
      </w:r>
      <w:r>
        <w:t>svolle Perspektive kann die Zusa</w:t>
      </w:r>
      <w:r>
        <w:t>m</w:t>
      </w:r>
      <w:r>
        <w:t xml:space="preserve">menhänge </w:t>
      </w:r>
      <w:r w:rsidR="0026078E">
        <w:t xml:space="preserve">jedoch </w:t>
      </w:r>
      <w:r>
        <w:t>anders wahrnehmen und beschreiben:</w:t>
      </w:r>
      <w:r w:rsidR="00A83CEE">
        <w:t xml:space="preserve"> </w:t>
      </w:r>
      <w:r w:rsidRPr="00351038">
        <w:t>Jeder Mensch</w:t>
      </w:r>
      <w:r>
        <w:t xml:space="preserve"> ist </w:t>
      </w:r>
      <w:r w:rsidRPr="00351038">
        <w:t>als Pe</w:t>
      </w:r>
      <w:r w:rsidRPr="00351038">
        <w:t>r</w:t>
      </w:r>
      <w:r w:rsidRPr="00351038">
        <w:t>son</w:t>
      </w:r>
      <w:r>
        <w:t xml:space="preserve"> einzigartig und besitzt </w:t>
      </w:r>
      <w:r w:rsidR="009E2781">
        <w:t xml:space="preserve">von Gott her </w:t>
      </w:r>
      <w:r>
        <w:t xml:space="preserve">eine </w:t>
      </w:r>
      <w:r w:rsidR="009E2781" w:rsidRPr="00351038">
        <w:t>unvergleichliche</w:t>
      </w:r>
      <w:r w:rsidRPr="00351038">
        <w:t xml:space="preserve"> Würde</w:t>
      </w:r>
      <w:r>
        <w:t xml:space="preserve">. Die </w:t>
      </w:r>
      <w:r w:rsidRPr="00351038">
        <w:t>Liebe zw</w:t>
      </w:r>
      <w:r w:rsidRPr="00351038">
        <w:t>i</w:t>
      </w:r>
      <w:r w:rsidRPr="00351038">
        <w:t>schen Mann und Frau</w:t>
      </w:r>
      <w:r>
        <w:t xml:space="preserve"> kann zu einer derart großen Reife und Tiefe kommen, dass die beiden sich einig sind, einander für immer ihre Liebe und Treue erklären zu wollen. Dies tun sie</w:t>
      </w:r>
      <w:r w:rsidR="00CA6CE6">
        <w:t xml:space="preserve"> bei der </w:t>
      </w:r>
      <w:r w:rsidR="00CA6CE6" w:rsidRPr="00351038">
        <w:t>Trauung</w:t>
      </w:r>
      <w:r>
        <w:t xml:space="preserve"> in öffentlichem </w:t>
      </w:r>
      <w:r w:rsidR="009E2781">
        <w:t xml:space="preserve">und auch kirchlichem </w:t>
      </w:r>
      <w:r>
        <w:t xml:space="preserve">Rahmen, weil sie überzeugt sind, dass ihre Liebe durch das gegenseitige </w:t>
      </w:r>
      <w:r w:rsidRPr="00351038">
        <w:t>Ja-Wort</w:t>
      </w:r>
      <w:r>
        <w:t xml:space="preserve"> </w:t>
      </w:r>
      <w:r w:rsidR="009E2781">
        <w:t>für ihr ganzes z</w:t>
      </w:r>
      <w:r w:rsidR="009E2781">
        <w:t>u</w:t>
      </w:r>
      <w:r w:rsidR="009E2781">
        <w:t xml:space="preserve">künftiges Leben </w:t>
      </w:r>
      <w:r w:rsidRPr="00351038">
        <w:t>etwas Neues schafft</w:t>
      </w:r>
      <w:r>
        <w:t>, was über ihre momentane Befindlichkeit hi</w:t>
      </w:r>
      <w:r>
        <w:t>n</w:t>
      </w:r>
      <w:r>
        <w:t xml:space="preserve">ausgeht. Die </w:t>
      </w:r>
      <w:r w:rsidRPr="00351038">
        <w:t>Institution der Ehe</w:t>
      </w:r>
      <w:r w:rsidR="009E2781">
        <w:t xml:space="preserve"> (und darauf aufbauend der Familie mit Kindern)</w:t>
      </w:r>
      <w:r>
        <w:t xml:space="preserve"> ist also nicht etwas Negatives, sondern </w:t>
      </w:r>
      <w:r w:rsidRPr="00351038">
        <w:t xml:space="preserve">entspricht </w:t>
      </w:r>
      <w:r w:rsidRPr="009E2781">
        <w:t>gerade</w:t>
      </w:r>
      <w:r w:rsidRPr="00351038">
        <w:t xml:space="preserve"> einer Ursehnsucht der Liebe, </w:t>
      </w:r>
      <w:r>
        <w:t xml:space="preserve">wie sie </w:t>
      </w:r>
      <w:r w:rsidR="009E2781">
        <w:t xml:space="preserve">den </w:t>
      </w:r>
      <w:r>
        <w:t xml:space="preserve">Brautleuten zu </w:t>
      </w:r>
      <w:r w:rsidR="007174A1">
        <w:t>Eigen</w:t>
      </w:r>
      <w:r>
        <w:t xml:space="preserve"> ist: Sie wollen sich für immer aneinander binden, sich </w:t>
      </w:r>
      <w:r w:rsidRPr="00351038">
        <w:t xml:space="preserve">für immer </w:t>
      </w:r>
      <w:r>
        <w:t xml:space="preserve">gegenseitig zu einer </w:t>
      </w:r>
      <w:r w:rsidRPr="00351038">
        <w:t>Gabe der Liebe</w:t>
      </w:r>
      <w:r>
        <w:t xml:space="preserve"> machen.</w:t>
      </w:r>
      <w:r w:rsidR="007174A1">
        <w:t xml:space="preserve"> Diese </w:t>
      </w:r>
      <w:r w:rsidR="009E2781">
        <w:t>personale</w:t>
      </w:r>
      <w:r w:rsidR="007174A1">
        <w:t xml:space="preserve"> Hing</w:t>
      </w:r>
      <w:r w:rsidR="007174A1">
        <w:t>a</w:t>
      </w:r>
      <w:r w:rsidR="007174A1">
        <w:t xml:space="preserve">be, </w:t>
      </w:r>
      <w:r w:rsidR="009E2781">
        <w:t>die</w:t>
      </w:r>
      <w:r w:rsidR="007174A1">
        <w:t xml:space="preserve"> sich im Ja-Wort ausdrückt und in der sexuellen Vereinigung der Gatten gleichsam </w:t>
      </w:r>
      <w:r w:rsidR="0088399E">
        <w:t>„</w:t>
      </w:r>
      <w:r w:rsidR="007174A1">
        <w:t>ein Fleisch</w:t>
      </w:r>
      <w:r w:rsidR="0088399E">
        <w:t>“</w:t>
      </w:r>
      <w:r w:rsidR="007174A1">
        <w:t xml:space="preserve"> wird, ist </w:t>
      </w:r>
      <w:r w:rsidR="007174A1" w:rsidRPr="00351038">
        <w:t xml:space="preserve">von </w:t>
      </w:r>
      <w:r w:rsidR="009E2781" w:rsidRPr="00351038">
        <w:t>ihrem</w:t>
      </w:r>
      <w:r w:rsidR="007174A1" w:rsidRPr="00351038">
        <w:t xml:space="preserve"> Wesen her unwiderruflich:</w:t>
      </w:r>
      <w:r w:rsidR="007174A1">
        <w:t xml:space="preserve"> Die Hingabe kann </w:t>
      </w:r>
      <w:r w:rsidR="00DC75DC" w:rsidRPr="00DC75DC">
        <w:rPr>
          <w:highlight w:val="yellow"/>
        </w:rPr>
        <w:t>185</w:t>
      </w:r>
      <w:r w:rsidR="00DC75DC">
        <w:t xml:space="preserve"> </w:t>
      </w:r>
      <w:r w:rsidR="007174A1">
        <w:t xml:space="preserve">nicht ungeschehen gemacht werden, weil sie aufs Ganze geht. In der christlich-sakramentalen Ehe besteht ein Zusammenhang mit der </w:t>
      </w:r>
      <w:r w:rsidR="007174A1" w:rsidRPr="00351038">
        <w:t>Gnade der Taufe</w:t>
      </w:r>
      <w:r w:rsidR="007174A1">
        <w:t xml:space="preserve">: Gott hat in der Taufe unwiderruflich zu </w:t>
      </w:r>
      <w:r w:rsidR="00683CE7">
        <w:t>einem bestimmten Menschen</w:t>
      </w:r>
      <w:r w:rsidR="007174A1">
        <w:t xml:space="preserve"> Ja gesagt; die Taufe als solche kann daher nicht rückgängig gemacht werden. </w:t>
      </w:r>
      <w:r w:rsidR="00683CE7">
        <w:t>Der Betreffende</w:t>
      </w:r>
      <w:r w:rsidR="007174A1">
        <w:t xml:space="preserve"> kann </w:t>
      </w:r>
      <w:r w:rsidR="00683CE7">
        <w:t>s</w:t>
      </w:r>
      <w:r w:rsidR="007174A1">
        <w:t xml:space="preserve">ich zwar weigern, wie ein Getaufter zu leben. </w:t>
      </w:r>
      <w:r w:rsidR="007174A1" w:rsidRPr="00351038">
        <w:t>Gott</w:t>
      </w:r>
      <w:r w:rsidR="007174A1">
        <w:t xml:space="preserve"> selbst </w:t>
      </w:r>
      <w:r w:rsidR="007174A1" w:rsidRPr="00351038">
        <w:t>nimmt</w:t>
      </w:r>
      <w:r w:rsidR="007174A1">
        <w:t xml:space="preserve"> jedoch das </w:t>
      </w:r>
      <w:r w:rsidR="007174A1" w:rsidRPr="00351038">
        <w:t>Ja sein</w:t>
      </w:r>
      <w:r w:rsidR="00CE083B" w:rsidRPr="00351038">
        <w:t>es Bundes</w:t>
      </w:r>
      <w:r w:rsidR="00CE083B">
        <w:t xml:space="preserve"> mit </w:t>
      </w:r>
      <w:r w:rsidR="00683CE7">
        <w:t>ihm</w:t>
      </w:r>
      <w:r w:rsidR="00CE083B">
        <w:t xml:space="preserve"> </w:t>
      </w:r>
      <w:r w:rsidR="00CE083B" w:rsidRPr="00351038">
        <w:t>nicht zurück</w:t>
      </w:r>
      <w:r w:rsidR="00CE083B">
        <w:t>.</w:t>
      </w:r>
    </w:p>
    <w:p w:rsidR="00822945" w:rsidRDefault="007174A1" w:rsidP="00FB5FD6">
      <w:r>
        <w:t xml:space="preserve">Die </w:t>
      </w:r>
      <w:r w:rsidRPr="00351038">
        <w:t>christliche Ehe</w:t>
      </w:r>
      <w:r>
        <w:t xml:space="preserve"> ist eine </w:t>
      </w:r>
      <w:r w:rsidRPr="00351038">
        <w:t>Teilhabe am Bund</w:t>
      </w:r>
      <w:r>
        <w:t>, den Gott mit der Menschheit auf unw</w:t>
      </w:r>
      <w:r>
        <w:t>i</w:t>
      </w:r>
      <w:r>
        <w:t>derrufliche Weise schließt.</w:t>
      </w:r>
      <w:r w:rsidR="00A5481B">
        <w:rPr>
          <w:rStyle w:val="Funotenzeichen"/>
        </w:rPr>
        <w:footnoteReference w:id="28"/>
      </w:r>
      <w:r>
        <w:t xml:space="preserve"> Nicht die Gatten selbst sind fähig zu unwiderruflicher Treue, sondern Gott macht sie fähig und bereit dazu, wenn sie sich ihm gegenüber öffnen und ihn den Dritten in ihrem Bunde sein lassen.</w:t>
      </w:r>
      <w:r w:rsidR="00A753ED">
        <w:t xml:space="preserve"> </w:t>
      </w:r>
      <w:r w:rsidR="00A753ED" w:rsidRPr="00351038">
        <w:t>Versagt daher ein Partner oder gar beide</w:t>
      </w:r>
      <w:r w:rsidR="00A753ED">
        <w:t xml:space="preserve"> in ihrer gegenseitigen Treue, so </w:t>
      </w:r>
      <w:r w:rsidR="00A753ED" w:rsidRPr="00351038">
        <w:t xml:space="preserve">bleibt Gott doch der Treue, </w:t>
      </w:r>
      <w:r w:rsidR="00A753ED">
        <w:t>der auf die Erneuerung der Bundesbeziehung</w:t>
      </w:r>
      <w:r w:rsidR="00CE083B">
        <w:t xml:space="preserve"> der Gatten</w:t>
      </w:r>
      <w:r w:rsidR="00A753ED">
        <w:t xml:space="preserve"> mit Gott und untereinander wartet. Eben dies ist der christliche Sinn der Unauflöslichkeit der Ehe. Die Ehepartner dürfen </w:t>
      </w:r>
      <w:r w:rsidR="00A753ED">
        <w:lastRenderedPageBreak/>
        <w:t xml:space="preserve">sich gegenseitig zeigen und zusagen, dass </w:t>
      </w:r>
      <w:r w:rsidR="00A753ED" w:rsidRPr="00351038">
        <w:t>Gott</w:t>
      </w:r>
      <w:r w:rsidR="00A753ED">
        <w:t xml:space="preserve"> sie </w:t>
      </w:r>
      <w:r w:rsidR="00A753ED" w:rsidRPr="00351038">
        <w:t>unwiderruflich liebt</w:t>
      </w:r>
      <w:r w:rsidR="00A753ED">
        <w:t>. Von dieser unzerstörbaren Zusage aus ist Versöh</w:t>
      </w:r>
      <w:r w:rsidR="00D22F0C">
        <w:t>n</w:t>
      </w:r>
      <w:r w:rsidR="00A753ED">
        <w:t>ung auch dort möglich, wo eine Beziehung</w:t>
      </w:r>
      <w:r w:rsidR="00CE083B">
        <w:t xml:space="preserve"> menschlich gesehen </w:t>
      </w:r>
      <w:r w:rsidR="00A753ED">
        <w:t xml:space="preserve">zerstört oder zerrüttet </w:t>
      </w:r>
      <w:r w:rsidR="00CE083B">
        <w:t>er</w:t>
      </w:r>
      <w:r w:rsidR="00A753ED">
        <w:t>scheint.</w:t>
      </w:r>
      <w:r w:rsidR="00C53B49">
        <w:t xml:space="preserve"> </w:t>
      </w:r>
      <w:r w:rsidR="00C53B49" w:rsidRPr="00351038">
        <w:t>Der Neuanfang in der Liebe</w:t>
      </w:r>
      <w:r w:rsidR="00C53B49">
        <w:t xml:space="preserve"> wird nicht den Menschen zugetraut, sondern der </w:t>
      </w:r>
      <w:r w:rsidR="00C53B49" w:rsidRPr="00351038">
        <w:t>Hilfe und</w:t>
      </w:r>
      <w:r w:rsidR="00C53B49">
        <w:t xml:space="preserve"> dem </w:t>
      </w:r>
      <w:r w:rsidR="00C53B49" w:rsidRPr="00351038">
        <w:t>Beistand Gottes</w:t>
      </w:r>
      <w:r w:rsidR="00C53B49">
        <w:t>.</w:t>
      </w:r>
      <w:r w:rsidR="00CE083B">
        <w:t xml:space="preserve"> So ist die absolute </w:t>
      </w:r>
      <w:r w:rsidR="00CE083B" w:rsidRPr="00351038">
        <w:t>Unauflöslichkeit</w:t>
      </w:r>
      <w:r w:rsidR="00CE083B">
        <w:t xml:space="preserve"> der gültig geschlossenen und vollzogenen sakr</w:t>
      </w:r>
      <w:r w:rsidR="00CE083B">
        <w:t>a</w:t>
      </w:r>
      <w:r w:rsidR="00CE083B">
        <w:t xml:space="preserve">mentalen Ehe keineswegs als Last und Strafe zu verstehen, sondern als </w:t>
      </w:r>
      <w:r w:rsidR="00CE083B" w:rsidRPr="00351038">
        <w:t>Geschenk und Hoffnungszeichen</w:t>
      </w:r>
      <w:r w:rsidR="00CE083B">
        <w:t xml:space="preserve"> – gerade auch in der Treuebeziehung der Gat</w:t>
      </w:r>
      <w:r w:rsidR="00CD7178">
        <w:t>ten.</w:t>
      </w:r>
    </w:p>
    <w:p w:rsidR="009030E1" w:rsidRDefault="009030E1" w:rsidP="00FB5FD6">
      <w:r>
        <w:t xml:space="preserve">Was aber soll geschehen, wenn ein </w:t>
      </w:r>
      <w:r w:rsidR="003A2A98" w:rsidRPr="005D5124">
        <w:rPr>
          <w:i/>
        </w:rPr>
        <w:t xml:space="preserve">weiteres </w:t>
      </w:r>
      <w:r w:rsidRPr="005D5124">
        <w:rPr>
          <w:i/>
        </w:rPr>
        <w:t>Zusammenleben</w:t>
      </w:r>
      <w:r>
        <w:t xml:space="preserve"> der rechtmäßigen Gatten bzw. eine Versöhnung wirklich </w:t>
      </w:r>
      <w:r w:rsidRPr="005D5124">
        <w:rPr>
          <w:i/>
        </w:rPr>
        <w:t>nicht mehr möglich</w:t>
      </w:r>
      <w:r>
        <w:t xml:space="preserve"> ist? Die Kirche hat von a</w:t>
      </w:r>
      <w:r>
        <w:t>l</w:t>
      </w:r>
      <w:r>
        <w:t xml:space="preserve">ters her die </w:t>
      </w:r>
      <w:r w:rsidRPr="00351038">
        <w:t xml:space="preserve">Möglichkeit einer </w:t>
      </w:r>
      <w:r w:rsidR="0088399E" w:rsidRPr="00351038">
        <w:t>„</w:t>
      </w:r>
      <w:r w:rsidRPr="00351038">
        <w:t>Trennung von Tisch und Bett</w:t>
      </w:r>
      <w:r w:rsidR="0088399E" w:rsidRPr="00351038">
        <w:t>“</w:t>
      </w:r>
      <w:r>
        <w:t xml:space="preserve"> </w:t>
      </w:r>
      <w:r w:rsidR="00CE083B">
        <w:t>bejaht</w:t>
      </w:r>
      <w:r>
        <w:t xml:space="preserve">. Wichtig ist, dass </w:t>
      </w:r>
      <w:r w:rsidR="00CE083B">
        <w:t xml:space="preserve">dabei </w:t>
      </w:r>
      <w:r>
        <w:t xml:space="preserve">das </w:t>
      </w:r>
      <w:r w:rsidRPr="005D5124">
        <w:rPr>
          <w:i/>
        </w:rPr>
        <w:t>sakramentale Eheband als solches aufrecht bleibt</w:t>
      </w:r>
      <w:r w:rsidR="00CE083B" w:rsidRPr="005D5124">
        <w:rPr>
          <w:i/>
        </w:rPr>
        <w:t>,</w:t>
      </w:r>
      <w:r w:rsidR="00CE083B">
        <w:t xml:space="preserve"> und zwar auch wenn es </w:t>
      </w:r>
      <w:r w:rsidR="003A2A98">
        <w:t xml:space="preserve">aus Gründen der rechtlichen Ordnung </w:t>
      </w:r>
      <w:r w:rsidR="00CE083B">
        <w:t>zu einer zivilen Scheidung kommt</w:t>
      </w:r>
      <w:r>
        <w:t xml:space="preserve">. </w:t>
      </w:r>
      <w:r w:rsidR="00CE083B">
        <w:t xml:space="preserve">Das </w:t>
      </w:r>
      <w:r w:rsidR="00CE083B" w:rsidRPr="00351038">
        <w:t>weite</w:t>
      </w:r>
      <w:r w:rsidR="00CE083B" w:rsidRPr="00351038">
        <w:t>r</w:t>
      </w:r>
      <w:r w:rsidR="00CE083B" w:rsidRPr="00351038">
        <w:t>hin bestehende Ehesakrament</w:t>
      </w:r>
      <w:r>
        <w:t xml:space="preserve"> ist ein Zeichen dafür, dass Gott </w:t>
      </w:r>
      <w:r w:rsidR="005D5124">
        <w:t>sogar</w:t>
      </w:r>
      <w:r>
        <w:t xml:space="preserve"> dort, wo der Mensch scheitert, seine Gnade und se</w:t>
      </w:r>
      <w:r w:rsidR="00CE083B">
        <w:t xml:space="preserve">inen Beistand nicht zurückzieht, sondern </w:t>
      </w:r>
      <w:r w:rsidR="009B1B45">
        <w:t>auch in Zukunft</w:t>
      </w:r>
      <w:r w:rsidR="00CE083B">
        <w:t xml:space="preserve"> den getrennten Gatten gewährt.</w:t>
      </w:r>
    </w:p>
    <w:p w:rsidR="005D5124" w:rsidRDefault="00A949A0" w:rsidP="00FB5FD6">
      <w:r w:rsidRPr="000A3064">
        <w:t xml:space="preserve">Verschiedenste Gründe und Situationen können vorliegen, wenn Ehepartner getrennt leben oder </w:t>
      </w:r>
      <w:r w:rsidR="003A2A98">
        <w:t xml:space="preserve">sogar </w:t>
      </w:r>
      <w:r w:rsidRPr="000A3064">
        <w:t xml:space="preserve">voneinander geschieden sind. </w:t>
      </w:r>
      <w:r w:rsidRPr="00351038">
        <w:t>Nicht immer</w:t>
      </w:r>
      <w:r w:rsidRPr="000A3064">
        <w:t xml:space="preserve"> muss </w:t>
      </w:r>
      <w:r w:rsidRPr="00351038">
        <w:t>subjektive Schuld</w:t>
      </w:r>
      <w:r w:rsidRPr="000A3064">
        <w:t xml:space="preserve"> vorliegen. Auch kann es sein, dass </w:t>
      </w:r>
      <w:r w:rsidR="003A2A98">
        <w:t>die Lebensg</w:t>
      </w:r>
      <w:r>
        <w:t>emeinschaft</w:t>
      </w:r>
      <w:r w:rsidRPr="000A3064">
        <w:t xml:space="preserve"> zwar durch die Schuld eines oder beider ein Ende gefunden hat, </w:t>
      </w:r>
      <w:r>
        <w:t xml:space="preserve">jedoch </w:t>
      </w:r>
      <w:r w:rsidRPr="000A3064">
        <w:t>ein Partner oder sogar beide d</w:t>
      </w:r>
      <w:r w:rsidRPr="000A3064">
        <w:t>a</w:t>
      </w:r>
      <w:r w:rsidRPr="000A3064">
        <w:t xml:space="preserve">nach wieder eine </w:t>
      </w:r>
      <w:r w:rsidRPr="00351038">
        <w:t>Aussöhnung</w:t>
      </w:r>
      <w:r w:rsidRPr="000A3064">
        <w:t xml:space="preserve"> suchen: sowohl mit Gott im Sakrament der Buße wie auch </w:t>
      </w:r>
      <w:r w:rsidR="003A2A98">
        <w:t>unter</w:t>
      </w:r>
      <w:r>
        <w:t>e</w:t>
      </w:r>
      <w:r w:rsidRPr="000A3064">
        <w:t xml:space="preserve">inander. </w:t>
      </w:r>
      <w:r>
        <w:t xml:space="preserve">Vielleicht nehmen sie dann ihre Lebensgemeinschaft wieder auf, was zu wünschen wäre. </w:t>
      </w:r>
      <w:r w:rsidRPr="000A3064">
        <w:t xml:space="preserve">Mitunter ist es aber trotz guten Willens nicht </w:t>
      </w:r>
      <w:r>
        <w:t xml:space="preserve">mehr </w:t>
      </w:r>
      <w:r w:rsidRPr="000A3064">
        <w:t xml:space="preserve">möglich, die Gemeinschaft von </w:t>
      </w:r>
      <w:r>
        <w:t>„</w:t>
      </w:r>
      <w:r w:rsidRPr="000A3064">
        <w:t>Tisch und Bett</w:t>
      </w:r>
      <w:r>
        <w:t>“</w:t>
      </w:r>
      <w:r w:rsidRPr="000A3064">
        <w:t xml:space="preserve"> wieder aufzunehmen bzw. eine zivile Sche</w:t>
      </w:r>
      <w:r w:rsidRPr="000A3064">
        <w:t>i</w:t>
      </w:r>
      <w:r w:rsidRPr="000A3064">
        <w:t>dung rückgängig zu machen.</w:t>
      </w:r>
    </w:p>
    <w:p w:rsidR="00A949A0" w:rsidRPr="000A3064" w:rsidRDefault="00A949A0" w:rsidP="00FB5FD6">
      <w:r>
        <w:t xml:space="preserve">Bezüglich des </w:t>
      </w:r>
      <w:r w:rsidRPr="005D5124">
        <w:rPr>
          <w:i/>
        </w:rPr>
        <w:t xml:space="preserve">Sakramentenempfangs </w:t>
      </w:r>
      <w:r w:rsidR="000F12C8" w:rsidRPr="005D5124">
        <w:rPr>
          <w:i/>
        </w:rPr>
        <w:t>bei Geschiedenen,</w:t>
      </w:r>
      <w:r w:rsidR="000F12C8">
        <w:t xml:space="preserve"> die sich nicht wieder neu zivil verheiratet haben und auch nicht mit einem neuen Partner auf </w:t>
      </w:r>
      <w:r w:rsidR="00CD7178">
        <w:t>sexuelle</w:t>
      </w:r>
      <w:r w:rsidR="000F12C8">
        <w:t xml:space="preserve"> </w:t>
      </w:r>
      <w:r w:rsidR="00CD7178">
        <w:t xml:space="preserve">Weise </w:t>
      </w:r>
      <w:r w:rsidR="000F12C8">
        <w:t>zusammenleben, gilt:</w:t>
      </w:r>
      <w:r w:rsidR="005D5124">
        <w:t xml:space="preserve"> </w:t>
      </w:r>
      <w:r w:rsidRPr="000A3064">
        <w:t>Im Fall eines weiblichen oder männlichen „</w:t>
      </w:r>
      <w:r w:rsidRPr="00351038">
        <w:t xml:space="preserve">Ehegatten, der </w:t>
      </w:r>
      <w:proofErr w:type="spellStart"/>
      <w:r w:rsidRPr="00351038">
        <w:t>ge</w:t>
      </w:r>
      <w:proofErr w:type="spellEnd"/>
      <w:r w:rsidR="00FB5FD6">
        <w:t xml:space="preserve">- </w:t>
      </w:r>
      <w:r w:rsidR="00DC75DC" w:rsidRPr="00DC75DC">
        <w:rPr>
          <w:highlight w:val="yellow"/>
        </w:rPr>
        <w:t>186</w:t>
      </w:r>
      <w:r w:rsidR="00FB5FD6">
        <w:t xml:space="preserve"> </w:t>
      </w:r>
      <w:r w:rsidRPr="00351038">
        <w:t>schieden wurde</w:t>
      </w:r>
      <w:r w:rsidRPr="000A3064">
        <w:t>, aber sehr wohl um die Unauflöslichkeit des gültigen Eheba</w:t>
      </w:r>
      <w:r w:rsidRPr="000A3064">
        <w:t>n</w:t>
      </w:r>
      <w:r w:rsidRPr="000A3064">
        <w:t xml:space="preserve">des weiß und darum </w:t>
      </w:r>
      <w:r w:rsidRPr="00351038">
        <w:t>keine neue Verbindung eingeht</w:t>
      </w:r>
      <w:r w:rsidRPr="000A3064">
        <w:t>, sondern sich einzig um die Erfü</w:t>
      </w:r>
      <w:r w:rsidRPr="000A3064">
        <w:t>l</w:t>
      </w:r>
      <w:r w:rsidRPr="000A3064">
        <w:t>lung seiner Verpflichtungen für die Familie und ein christliches Leben bemüht“, gibt es „</w:t>
      </w:r>
      <w:r w:rsidRPr="00351038">
        <w:t>keinerlei Hindernis</w:t>
      </w:r>
      <w:r w:rsidRPr="000A3064">
        <w:t xml:space="preserve">“, diesen „zu den </w:t>
      </w:r>
      <w:r w:rsidRPr="00351038">
        <w:t>Sakramenten</w:t>
      </w:r>
      <w:r w:rsidRPr="000A3064">
        <w:t xml:space="preserve"> zuzulassen.“</w:t>
      </w:r>
      <w:r w:rsidRPr="000A3064">
        <w:rPr>
          <w:vertAlign w:val="superscript"/>
        </w:rPr>
        <w:footnoteReference w:id="29"/>
      </w:r>
    </w:p>
    <w:p w:rsidR="00A949A0" w:rsidRPr="000A3064" w:rsidRDefault="00A949A0" w:rsidP="00FB5FD6">
      <w:r w:rsidRPr="00351038">
        <w:t>Ehepartner</w:t>
      </w:r>
      <w:r w:rsidRPr="000A3064">
        <w:t xml:space="preserve"> in solchen Situationen </w:t>
      </w:r>
      <w:r>
        <w:t>brauchen</w:t>
      </w:r>
      <w:r w:rsidRPr="000A3064">
        <w:t xml:space="preserve"> die Zuwendung vonseiten der </w:t>
      </w:r>
      <w:r>
        <w:t>Seelso</w:t>
      </w:r>
      <w:r>
        <w:t>r</w:t>
      </w:r>
      <w:r>
        <w:t>ger</w:t>
      </w:r>
      <w:r w:rsidRPr="000A3064">
        <w:t xml:space="preserve"> und der Pfarrgemeinde, damit sie in dieser schwierigen Situation die ursprüngl</w:t>
      </w:r>
      <w:r w:rsidRPr="000A3064">
        <w:t>i</w:t>
      </w:r>
      <w:r w:rsidRPr="000A3064">
        <w:t xml:space="preserve">che Treue durch den </w:t>
      </w:r>
      <w:r w:rsidRPr="00351038">
        <w:t>Verzicht auf eine neue Verbindung</w:t>
      </w:r>
      <w:r w:rsidRPr="000A3064">
        <w:t xml:space="preserve"> bewahren können. Sie g</w:t>
      </w:r>
      <w:r w:rsidRPr="000A3064">
        <w:t>e</w:t>
      </w:r>
      <w:r w:rsidRPr="000A3064">
        <w:t xml:space="preserve">ben damit ein </w:t>
      </w:r>
      <w:r w:rsidRPr="00351038">
        <w:t>wichtiges Zeugnis für die Unauflöslichkeit der Ehe</w:t>
      </w:r>
      <w:r w:rsidRPr="000A3064">
        <w:t>.</w:t>
      </w:r>
    </w:p>
    <w:p w:rsidR="00E260E4" w:rsidRDefault="00E260E4" w:rsidP="00FB5FD6">
      <w:r>
        <w:t xml:space="preserve">Klar muss allerdings sein: </w:t>
      </w:r>
      <w:r w:rsidRPr="00351038">
        <w:t>Nicht alle Geschiedenen wollen dies</w:t>
      </w:r>
      <w:r>
        <w:t xml:space="preserve"> oder können dies auf Dauer durchhalten. Sie suchen bzw. finden einen neuen Partner, mit dem sie eine neue Gemeinschaft aufnehmen, die häufig über eine bloße Freundschaft hinausgeht und auch den sexuellen Bereich mit einbezieht. Manchmal sind auch </w:t>
      </w:r>
      <w:r w:rsidR="00420B22">
        <w:t xml:space="preserve">bereits </w:t>
      </w:r>
      <w:r>
        <w:t>vorha</w:t>
      </w:r>
      <w:r>
        <w:t>n</w:t>
      </w:r>
      <w:r>
        <w:t>dene Kinder ein Grund, wieder einen Partner zu suchen, der diesen Kindern dann als Stiefvater oder Stiefmutter beisteht und vielleicht auch eigene Kinder aus einer früh</w:t>
      </w:r>
      <w:r>
        <w:t>e</w:t>
      </w:r>
      <w:r>
        <w:t xml:space="preserve">ren Beziehung mitbringt (so entsteht eine typische „Patchwork“-Familie). Menschlich ist dies alles sehr verständlich, und </w:t>
      </w:r>
      <w:r w:rsidR="002520F3">
        <w:t>gerade aus christlichem Verständnis</w:t>
      </w:r>
      <w:r>
        <w:t xml:space="preserve"> </w:t>
      </w:r>
      <w:r w:rsidR="003C171B">
        <w:t xml:space="preserve">heraus </w:t>
      </w:r>
      <w:r>
        <w:t>sol</w:t>
      </w:r>
      <w:r>
        <w:t>l</w:t>
      </w:r>
      <w:r w:rsidR="002520F3">
        <w:t>te man</w:t>
      </w:r>
      <w:r>
        <w:t xml:space="preserve"> nicht über diese Personen richten und urteilen.</w:t>
      </w:r>
    </w:p>
    <w:p w:rsidR="00E55895" w:rsidRDefault="00E260E4" w:rsidP="00FB5FD6">
      <w:r>
        <w:t xml:space="preserve">Wie bewertet die Kirche die </w:t>
      </w:r>
      <w:r w:rsidR="00C2544E" w:rsidRPr="003C171B">
        <w:rPr>
          <w:i/>
        </w:rPr>
        <w:t xml:space="preserve">objektive </w:t>
      </w:r>
      <w:r w:rsidR="00E55895" w:rsidRPr="003C171B">
        <w:rPr>
          <w:i/>
        </w:rPr>
        <w:t>Situation zivil Geschiedener, die sich</w:t>
      </w:r>
      <w:r w:rsidR="00E55895" w:rsidRPr="00E55895">
        <w:t xml:space="preserve"> bei au</w:t>
      </w:r>
      <w:r w:rsidR="00E55895" w:rsidRPr="00E55895">
        <w:t>f</w:t>
      </w:r>
      <w:r w:rsidR="00E55895" w:rsidRPr="00E55895">
        <w:t xml:space="preserve">rechtem kirchlich-sakramentalen Eheband </w:t>
      </w:r>
      <w:r w:rsidRPr="003C171B">
        <w:rPr>
          <w:i/>
        </w:rPr>
        <w:t>zivil wiederverheiraten?</w:t>
      </w:r>
      <w:r w:rsidR="00E55895" w:rsidRPr="003C171B">
        <w:rPr>
          <w:i/>
        </w:rPr>
        <w:t xml:space="preserve"> </w:t>
      </w:r>
      <w:r w:rsidR="00E55895" w:rsidRPr="00E55895">
        <w:t>Sofern eine so</w:t>
      </w:r>
      <w:r w:rsidR="00E55895" w:rsidRPr="00E55895">
        <w:t>l</w:t>
      </w:r>
      <w:r w:rsidR="00E55895" w:rsidRPr="00E55895">
        <w:lastRenderedPageBreak/>
        <w:t xml:space="preserve">che </w:t>
      </w:r>
      <w:r w:rsidR="00A949A0">
        <w:t xml:space="preserve">neue </w:t>
      </w:r>
      <w:r w:rsidR="00E55895" w:rsidRPr="00E55895">
        <w:t xml:space="preserve">Verbindung auch die Dimension des </w:t>
      </w:r>
      <w:r w:rsidR="00E55895" w:rsidRPr="00351038">
        <w:t>sexuellen Zusammenlebens</w:t>
      </w:r>
      <w:r w:rsidR="00E55895" w:rsidRPr="00E55895">
        <w:t xml:space="preserve"> mit ei</w:t>
      </w:r>
      <w:r w:rsidR="00E55895" w:rsidRPr="00E55895">
        <w:t>n</w:t>
      </w:r>
      <w:r w:rsidR="00E55895" w:rsidRPr="00E55895">
        <w:t xml:space="preserve">schließt, </w:t>
      </w:r>
      <w:r w:rsidR="00A949A0">
        <w:t>besteht</w:t>
      </w:r>
      <w:r w:rsidR="00E55895" w:rsidRPr="00E55895">
        <w:t xml:space="preserve"> </w:t>
      </w:r>
      <w:r w:rsidR="00E55895">
        <w:t>nach Auffas</w:t>
      </w:r>
      <w:r w:rsidR="00C2544E">
        <w:t>s</w:t>
      </w:r>
      <w:r w:rsidR="00E55895">
        <w:t xml:space="preserve">ung der Kirche </w:t>
      </w:r>
      <w:r w:rsidR="00E55895" w:rsidRPr="00E55895">
        <w:t xml:space="preserve">eine </w:t>
      </w:r>
      <w:r w:rsidR="00E55895" w:rsidRPr="00351038">
        <w:t>schwerwiegende Form objektiver Unordnung</w:t>
      </w:r>
      <w:r w:rsidR="00E55895" w:rsidRPr="00E55895">
        <w:t xml:space="preserve">, die dem </w:t>
      </w:r>
      <w:r w:rsidR="00E55895" w:rsidRPr="00351038">
        <w:t>Wesen des Ehesakraments</w:t>
      </w:r>
      <w:r w:rsidR="00E55895" w:rsidRPr="00E55895">
        <w:t xml:space="preserve"> und der </w:t>
      </w:r>
      <w:r w:rsidR="00E55895" w:rsidRPr="00351038">
        <w:t>ehelichen Liebe wide</w:t>
      </w:r>
      <w:r w:rsidR="00E55895" w:rsidRPr="00351038">
        <w:t>r</w:t>
      </w:r>
      <w:r w:rsidR="00E55895" w:rsidRPr="00351038">
        <w:t>spricht</w:t>
      </w:r>
      <w:r w:rsidR="00E55895" w:rsidRPr="00E55895">
        <w:t>.</w:t>
      </w:r>
    </w:p>
    <w:p w:rsidR="00E55895" w:rsidRPr="00E55895" w:rsidRDefault="00E55895" w:rsidP="00FB5FD6">
      <w:r>
        <w:t xml:space="preserve">Johannes Paul II. hat im Apostolischen Schreiben </w:t>
      </w:r>
      <w:r w:rsidR="0088399E">
        <w:t>„</w:t>
      </w:r>
      <w:proofErr w:type="spellStart"/>
      <w:r>
        <w:t>Familiaris</w:t>
      </w:r>
      <w:proofErr w:type="spellEnd"/>
      <w:r>
        <w:t xml:space="preserve"> </w:t>
      </w:r>
      <w:proofErr w:type="spellStart"/>
      <w:r>
        <w:t>consortio</w:t>
      </w:r>
      <w:proofErr w:type="spellEnd"/>
      <w:r w:rsidR="0088399E">
        <w:t>“</w:t>
      </w:r>
      <w:r>
        <w:t xml:space="preserve"> erklärt, dass man dennoch </w:t>
      </w:r>
      <w:r w:rsidR="00A949A0">
        <w:t xml:space="preserve">auch hier </w:t>
      </w:r>
      <w:r>
        <w:t xml:space="preserve">die Unterschiede zwischen den einzelnen Betroffenen </w:t>
      </w:r>
      <w:r w:rsidR="00A949A0">
        <w:t xml:space="preserve">und ihrer jeweiligen Situation </w:t>
      </w:r>
      <w:r>
        <w:t>sehen soll:</w:t>
      </w:r>
    </w:p>
    <w:p w:rsidR="00E55895" w:rsidRDefault="0088399E" w:rsidP="00FB5FD6">
      <w:r>
        <w:rPr>
          <w:lang w:val="de-DE"/>
        </w:rPr>
        <w:t>„</w:t>
      </w:r>
      <w:r w:rsidR="00E55895" w:rsidRPr="00E55895">
        <w:rPr>
          <w:lang w:val="de-DE"/>
        </w:rPr>
        <w:t xml:space="preserve">Die Hirten mögen beherzigen, dass sie um der Liebe willen zur Wahrheit verpflichtet sind, die verschiedenen Situationen gut zu unterscheiden. Es ist ein </w:t>
      </w:r>
      <w:r w:rsidR="00E55895" w:rsidRPr="00351038">
        <w:rPr>
          <w:lang w:val="de-DE"/>
        </w:rPr>
        <w:t>Unterschied, ob jemand</w:t>
      </w:r>
      <w:r w:rsidR="00E55895" w:rsidRPr="00E55895">
        <w:rPr>
          <w:lang w:val="de-DE"/>
        </w:rPr>
        <w:t xml:space="preserve"> trotz aufrichtigen Bemühens, die frühere Ehe zu retten, völlig </w:t>
      </w:r>
      <w:r w:rsidR="00E55895" w:rsidRPr="00351038">
        <w:rPr>
          <w:lang w:val="de-DE"/>
        </w:rPr>
        <w:t>zu Unrecht ve</w:t>
      </w:r>
      <w:r w:rsidR="00E55895" w:rsidRPr="00351038">
        <w:rPr>
          <w:lang w:val="de-DE"/>
        </w:rPr>
        <w:t>r</w:t>
      </w:r>
      <w:r w:rsidR="00E55895" w:rsidRPr="00351038">
        <w:rPr>
          <w:lang w:val="de-DE"/>
        </w:rPr>
        <w:t>lassen</w:t>
      </w:r>
      <w:r w:rsidR="00E55895" w:rsidRPr="00E55895">
        <w:rPr>
          <w:lang w:val="de-DE"/>
        </w:rPr>
        <w:t xml:space="preserve"> wurde </w:t>
      </w:r>
      <w:r w:rsidR="00E55895" w:rsidRPr="00351038">
        <w:rPr>
          <w:lang w:val="de-DE"/>
        </w:rPr>
        <w:t>oder ob jemand</w:t>
      </w:r>
      <w:r w:rsidR="00E55895" w:rsidRPr="00E55895">
        <w:rPr>
          <w:lang w:val="de-DE"/>
        </w:rPr>
        <w:t xml:space="preserve"> eine kirchlich gültige </w:t>
      </w:r>
      <w:r w:rsidR="00E55895" w:rsidRPr="00351038">
        <w:rPr>
          <w:lang w:val="de-DE"/>
        </w:rPr>
        <w:t>Ehe</w:t>
      </w:r>
      <w:r w:rsidR="00E55895" w:rsidRPr="00E55895">
        <w:rPr>
          <w:lang w:val="de-DE"/>
        </w:rPr>
        <w:t xml:space="preserve"> durch eigene schwere Schuld </w:t>
      </w:r>
      <w:r w:rsidR="00E55895" w:rsidRPr="00351038">
        <w:rPr>
          <w:lang w:val="de-DE"/>
        </w:rPr>
        <w:t>zerstört hat</w:t>
      </w:r>
      <w:r w:rsidR="00E55895" w:rsidRPr="00E55895">
        <w:rPr>
          <w:lang w:val="de-DE"/>
        </w:rPr>
        <w:t>. Wieder andere sind eine neue Verbindung eingegangen im Hi</w:t>
      </w:r>
      <w:r w:rsidR="00E55895" w:rsidRPr="00E55895">
        <w:rPr>
          <w:lang w:val="de-DE"/>
        </w:rPr>
        <w:t>n</w:t>
      </w:r>
      <w:r w:rsidR="00E55895" w:rsidRPr="00E55895">
        <w:rPr>
          <w:lang w:val="de-DE"/>
        </w:rPr>
        <w:t>blick auf die Erziehung der Kinder und haben manchmal die subjektive Gewissen</w:t>
      </w:r>
      <w:r w:rsidR="00E55895" w:rsidRPr="00E55895">
        <w:rPr>
          <w:lang w:val="de-DE"/>
        </w:rPr>
        <w:t>s</w:t>
      </w:r>
      <w:r w:rsidR="00E55895" w:rsidRPr="00E55895">
        <w:rPr>
          <w:lang w:val="de-DE"/>
        </w:rPr>
        <w:t>überzeugung, dass die frühere, unheilbar zerstörte Ehe niemals gültig war.</w:t>
      </w:r>
      <w:r>
        <w:rPr>
          <w:lang w:val="de-DE"/>
        </w:rPr>
        <w:t>“</w:t>
      </w:r>
      <w:r w:rsidR="00E55895" w:rsidRPr="00E55895">
        <w:rPr>
          <w:vertAlign w:val="superscript"/>
          <w:lang w:val="de-DE"/>
        </w:rPr>
        <w:footnoteReference w:id="30"/>
      </w:r>
      <w:r w:rsidR="00D30D8F">
        <w:rPr>
          <w:lang w:val="de-DE"/>
        </w:rPr>
        <w:t xml:space="preserve"> </w:t>
      </w:r>
      <w:r w:rsidR="00E55895" w:rsidRPr="00E55895">
        <w:t xml:space="preserve">Im Fall der </w:t>
      </w:r>
      <w:r w:rsidR="00E55895" w:rsidRPr="00351038">
        <w:t>Überzeugung von der Ungültigkeit</w:t>
      </w:r>
      <w:r w:rsidR="00E55895" w:rsidRPr="00E55895">
        <w:t xml:space="preserve"> der früheren Ehe steht der Weg zum </w:t>
      </w:r>
      <w:r w:rsidR="00E55895" w:rsidRPr="00351038">
        <w:t>Kirche</w:t>
      </w:r>
      <w:r w:rsidR="00E55895" w:rsidRPr="00351038">
        <w:t>n</w:t>
      </w:r>
      <w:r w:rsidR="00E55895" w:rsidRPr="00351038">
        <w:t>gericht</w:t>
      </w:r>
      <w:r w:rsidR="00E55895" w:rsidRPr="00E55895">
        <w:t xml:space="preserve"> offen. Solange die Ungültigkeit nicht formell nachgewiesen ist, gilt </w:t>
      </w:r>
      <w:r w:rsidR="00C2544E">
        <w:t>im  Sinne eines „</w:t>
      </w:r>
      <w:proofErr w:type="spellStart"/>
      <w:r w:rsidR="00C2544E">
        <w:t>favor</w:t>
      </w:r>
      <w:proofErr w:type="spellEnd"/>
      <w:r w:rsidR="00C2544E">
        <w:t xml:space="preserve"> </w:t>
      </w:r>
      <w:proofErr w:type="spellStart"/>
      <w:r w:rsidR="00C2544E">
        <w:t>iuris</w:t>
      </w:r>
      <w:proofErr w:type="spellEnd"/>
      <w:r w:rsidR="00C2544E">
        <w:t xml:space="preserve">“ </w:t>
      </w:r>
      <w:r w:rsidR="00E55895" w:rsidRPr="00E55895">
        <w:t>die frühere Ehe als aufrecht.</w:t>
      </w:r>
      <w:r w:rsidR="00C25BF4">
        <w:rPr>
          <w:rStyle w:val="Funotenzeichen"/>
        </w:rPr>
        <w:footnoteReference w:id="31"/>
      </w:r>
    </w:p>
    <w:p w:rsidR="00D30D8F" w:rsidRDefault="00DC75DC" w:rsidP="00FB5FD6">
      <w:r w:rsidRPr="00DC75DC">
        <w:rPr>
          <w:highlight w:val="yellow"/>
        </w:rPr>
        <w:t>187</w:t>
      </w:r>
      <w:r>
        <w:t xml:space="preserve"> </w:t>
      </w:r>
      <w:r w:rsidR="00E55895">
        <w:t xml:space="preserve">Was kann man </w:t>
      </w:r>
      <w:r w:rsidR="00E55895" w:rsidRPr="00351038">
        <w:t>positiv über jene Gläubige sagen</w:t>
      </w:r>
      <w:r w:rsidR="00E55895">
        <w:t xml:space="preserve">, die </w:t>
      </w:r>
      <w:r w:rsidR="0013592C">
        <w:t>vom rechtmäßigen Eh</w:t>
      </w:r>
      <w:r w:rsidR="0013592C">
        <w:t>e</w:t>
      </w:r>
      <w:r w:rsidR="0013592C">
        <w:t xml:space="preserve">partner </w:t>
      </w:r>
      <w:r w:rsidR="00E55895">
        <w:t xml:space="preserve">geschieden </w:t>
      </w:r>
      <w:r w:rsidR="0013592C">
        <w:t xml:space="preserve">sind </w:t>
      </w:r>
      <w:r w:rsidR="00E55895">
        <w:t xml:space="preserve">und zivil </w:t>
      </w:r>
      <w:r w:rsidR="0013592C">
        <w:t>einen</w:t>
      </w:r>
      <w:r w:rsidR="00E55895">
        <w:t xml:space="preserve"> anderen Partner </w:t>
      </w:r>
      <w:r w:rsidR="0013592C">
        <w:t>geheiratet haben</w:t>
      </w:r>
      <w:r w:rsidR="00E55895">
        <w:t>?</w:t>
      </w:r>
      <w:r w:rsidR="00D30D8F">
        <w:t xml:space="preserve"> </w:t>
      </w:r>
      <w:r w:rsidR="00E55895" w:rsidRPr="00E55895">
        <w:t>Geschi</w:t>
      </w:r>
      <w:r w:rsidR="00E55895" w:rsidRPr="00E55895">
        <w:t>e</w:t>
      </w:r>
      <w:r w:rsidR="00E55895" w:rsidRPr="00E55895">
        <w:t xml:space="preserve">dene und wiederverheiratete Gläubige sind </w:t>
      </w:r>
      <w:r w:rsidR="00E55895" w:rsidRPr="00351038">
        <w:t>nicht von der Kirche getrennt</w:t>
      </w:r>
      <w:r w:rsidR="00E55895" w:rsidRPr="00E55895">
        <w:t xml:space="preserve">; sie sind auch </w:t>
      </w:r>
      <w:r w:rsidR="00E55895" w:rsidRPr="00351038">
        <w:t xml:space="preserve">nicht </w:t>
      </w:r>
      <w:r w:rsidR="0088399E" w:rsidRPr="00351038">
        <w:t>„</w:t>
      </w:r>
      <w:r w:rsidR="00E55895" w:rsidRPr="00351038">
        <w:t>exkommuniziert</w:t>
      </w:r>
      <w:r w:rsidR="0088399E" w:rsidRPr="00351038">
        <w:t>“</w:t>
      </w:r>
      <w:r w:rsidR="00E55895" w:rsidRPr="00351038">
        <w:t>.</w:t>
      </w:r>
      <w:r w:rsidR="00E55895" w:rsidRPr="00E55895">
        <w:t xml:space="preserve"> Sie können und sollen </w:t>
      </w:r>
      <w:r w:rsidR="00E55895" w:rsidRPr="00351038">
        <w:t>teilnehmen am Gebet und an der heiligen Messe</w:t>
      </w:r>
      <w:r w:rsidR="00C2544E">
        <w:t xml:space="preserve"> und sich vom Worte Gottes nähren;</w:t>
      </w:r>
      <w:r w:rsidR="00E55895" w:rsidRPr="00E55895">
        <w:t xml:space="preserve"> sie sollen </w:t>
      </w:r>
      <w:r w:rsidR="00E55895" w:rsidRPr="00351038">
        <w:t>Werke der Nächste</w:t>
      </w:r>
      <w:r w:rsidR="00E55895" w:rsidRPr="00351038">
        <w:t>n</w:t>
      </w:r>
      <w:r w:rsidR="00E55895" w:rsidRPr="00351038">
        <w:t>liebe</w:t>
      </w:r>
      <w:r w:rsidR="00E55895" w:rsidRPr="00E55895">
        <w:t xml:space="preserve"> und der Gerechtigkeit unterstützen, ihre </w:t>
      </w:r>
      <w:r w:rsidR="00E55895" w:rsidRPr="00351038">
        <w:t>Kinder im Glauben erziehen</w:t>
      </w:r>
      <w:r w:rsidR="00E55895" w:rsidRPr="00E55895">
        <w:t xml:space="preserve"> und den Geist und die </w:t>
      </w:r>
      <w:r w:rsidR="00E55895" w:rsidRPr="00351038">
        <w:t>Werke der Buße</w:t>
      </w:r>
      <w:r w:rsidR="00E55895" w:rsidRPr="00E55895">
        <w:t xml:space="preserve"> pflegen.</w:t>
      </w:r>
      <w:r w:rsidR="00C25BF4">
        <w:t xml:space="preserve"> Die Pastoral der Kirche soll sich um diese Menschen in besonderer Weise annehmen; dies gilt nicht nur für die Priester und die kirchlichen Mitarbeiter, sondern für alle Gläubigen.</w:t>
      </w:r>
      <w:r w:rsidR="00E45C13">
        <w:rPr>
          <w:rStyle w:val="Funotenzeichen"/>
        </w:rPr>
        <w:footnoteReference w:id="32"/>
      </w:r>
      <w:r w:rsidR="00C25BF4">
        <w:t xml:space="preserve"> </w:t>
      </w:r>
    </w:p>
    <w:p w:rsidR="00E55895" w:rsidRDefault="00C25BF4" w:rsidP="00FB5FD6">
      <w:pPr>
        <w:rPr>
          <w:lang w:val="de-DE"/>
        </w:rPr>
      </w:pPr>
      <w:r>
        <w:t xml:space="preserve">Man soll zeigen, dass sie </w:t>
      </w:r>
      <w:r w:rsidR="00D30D8F">
        <w:t>zur Pfarrgemeinde gehören</w:t>
      </w:r>
      <w:r>
        <w:t xml:space="preserve">, auch wenn es </w:t>
      </w:r>
      <w:r w:rsidR="00E55895">
        <w:t xml:space="preserve">eine </w:t>
      </w:r>
      <w:r w:rsidR="0088399E">
        <w:t>„</w:t>
      </w:r>
      <w:r w:rsidR="00E55895" w:rsidRPr="00351038">
        <w:t>sakr</w:t>
      </w:r>
      <w:r w:rsidR="00E55895" w:rsidRPr="00351038">
        <w:t>a</w:t>
      </w:r>
      <w:r w:rsidR="00E55895" w:rsidRPr="00351038">
        <w:t>mentale Grenze</w:t>
      </w:r>
      <w:r w:rsidR="0088399E">
        <w:t>“</w:t>
      </w:r>
      <w:r>
        <w:t xml:space="preserve"> gibt:</w:t>
      </w:r>
      <w:r w:rsidR="00D30D8F">
        <w:t xml:space="preserve"> </w:t>
      </w:r>
      <w:r w:rsidR="0088399E">
        <w:rPr>
          <w:lang w:val="de-DE"/>
        </w:rPr>
        <w:t>„</w:t>
      </w:r>
      <w:r w:rsidR="00E55895" w:rsidRPr="00E55895">
        <w:rPr>
          <w:lang w:val="de-DE"/>
        </w:rPr>
        <w:t xml:space="preserve">Die Kirche bekräftigt jedoch ihre </w:t>
      </w:r>
      <w:r w:rsidR="00E55895" w:rsidRPr="00351038">
        <w:rPr>
          <w:lang w:val="de-DE"/>
        </w:rPr>
        <w:t>auf die Heilige Schrift g</w:t>
      </w:r>
      <w:r w:rsidR="00E55895" w:rsidRPr="00351038">
        <w:rPr>
          <w:lang w:val="de-DE"/>
        </w:rPr>
        <w:t>e</w:t>
      </w:r>
      <w:r w:rsidR="00E55895" w:rsidRPr="00351038">
        <w:rPr>
          <w:lang w:val="de-DE"/>
        </w:rPr>
        <w:t>stützte Praxis</w:t>
      </w:r>
      <w:r w:rsidR="00E55895" w:rsidRPr="00E55895">
        <w:rPr>
          <w:lang w:val="de-DE"/>
        </w:rPr>
        <w:t xml:space="preserve">, </w:t>
      </w:r>
      <w:r w:rsidR="00E55895" w:rsidRPr="00351038">
        <w:rPr>
          <w:lang w:val="de-DE"/>
        </w:rPr>
        <w:t xml:space="preserve">wiederverheiratete Geschiedene </w:t>
      </w:r>
      <w:r w:rsidR="00E55895" w:rsidRPr="00351038">
        <w:rPr>
          <w:iCs/>
          <w:lang w:val="de-DE"/>
        </w:rPr>
        <w:t>nicht zum eucharistischen Mahl z</w:t>
      </w:r>
      <w:r w:rsidR="00E55895" w:rsidRPr="00351038">
        <w:rPr>
          <w:iCs/>
          <w:lang w:val="de-DE"/>
        </w:rPr>
        <w:t>u</w:t>
      </w:r>
      <w:r w:rsidR="00E55895" w:rsidRPr="00351038">
        <w:rPr>
          <w:iCs/>
          <w:lang w:val="de-DE"/>
        </w:rPr>
        <w:t>zulassen</w:t>
      </w:r>
      <w:r w:rsidR="00E55895" w:rsidRPr="00E55895">
        <w:rPr>
          <w:i/>
          <w:iCs/>
          <w:lang w:val="de-DE"/>
        </w:rPr>
        <w:t xml:space="preserve">. </w:t>
      </w:r>
      <w:r w:rsidR="00E55895" w:rsidRPr="00E55895">
        <w:rPr>
          <w:lang w:val="de-DE"/>
        </w:rPr>
        <w:t xml:space="preserve">Sie können nicht zugelassen werden; denn ihr </w:t>
      </w:r>
      <w:r w:rsidR="00E55895" w:rsidRPr="00351038">
        <w:rPr>
          <w:lang w:val="de-DE"/>
        </w:rPr>
        <w:t>Lebensstand</w:t>
      </w:r>
      <w:r w:rsidR="00E55895" w:rsidRPr="00E55895">
        <w:rPr>
          <w:lang w:val="de-DE"/>
        </w:rPr>
        <w:t xml:space="preserve"> und ihre L</w:t>
      </w:r>
      <w:r w:rsidR="00E55895" w:rsidRPr="00E55895">
        <w:rPr>
          <w:lang w:val="de-DE"/>
        </w:rPr>
        <w:t>e</w:t>
      </w:r>
      <w:r w:rsidR="00E55895" w:rsidRPr="00E55895">
        <w:rPr>
          <w:lang w:val="de-DE"/>
        </w:rPr>
        <w:t xml:space="preserve">bensverhältnisse stehen in </w:t>
      </w:r>
      <w:r w:rsidR="00E55895" w:rsidRPr="00351038">
        <w:rPr>
          <w:lang w:val="de-DE"/>
        </w:rPr>
        <w:t>objektivem Widerspruch zu</w:t>
      </w:r>
      <w:r w:rsidR="00E55895" w:rsidRPr="00E55895">
        <w:rPr>
          <w:lang w:val="de-DE"/>
        </w:rPr>
        <w:t xml:space="preserve"> jenem </w:t>
      </w:r>
      <w:r w:rsidR="00E55895" w:rsidRPr="00351038">
        <w:rPr>
          <w:lang w:val="de-DE"/>
        </w:rPr>
        <w:t>Bund der Liebe zw</w:t>
      </w:r>
      <w:r w:rsidR="00E55895" w:rsidRPr="00351038">
        <w:rPr>
          <w:lang w:val="de-DE"/>
        </w:rPr>
        <w:t>i</w:t>
      </w:r>
      <w:r w:rsidR="00E55895" w:rsidRPr="00351038">
        <w:rPr>
          <w:lang w:val="de-DE"/>
        </w:rPr>
        <w:t>schen Christus und der Kirche</w:t>
      </w:r>
      <w:r w:rsidR="00E55895" w:rsidRPr="00E55895">
        <w:rPr>
          <w:lang w:val="de-DE"/>
        </w:rPr>
        <w:t xml:space="preserve">, den die </w:t>
      </w:r>
      <w:r w:rsidR="00E55895" w:rsidRPr="00351038">
        <w:rPr>
          <w:lang w:val="de-DE"/>
        </w:rPr>
        <w:t>Eucharistie</w:t>
      </w:r>
      <w:r w:rsidR="00E55895" w:rsidRPr="00E55895">
        <w:rPr>
          <w:lang w:val="de-DE"/>
        </w:rPr>
        <w:t xml:space="preserve"> sichtbar und gegenwärtig macht. Darüber hinaus gibt es noch einen besonderen Grund pastoraler Natur: Ließe man solche Menschen zur Eucharistie zu, bewirkte dies bei den Gläubigen hinsichtlich der Lehre der Kirche über die </w:t>
      </w:r>
      <w:r w:rsidR="00E55895" w:rsidRPr="00351038">
        <w:rPr>
          <w:lang w:val="de-DE"/>
        </w:rPr>
        <w:t>Unauflöslichkeit der Ehe</w:t>
      </w:r>
      <w:r w:rsidR="00E55895" w:rsidRPr="00E55895">
        <w:rPr>
          <w:lang w:val="de-DE"/>
        </w:rPr>
        <w:t xml:space="preserve"> Irrtum und Verwirrung.</w:t>
      </w:r>
      <w:r w:rsidR="0088399E">
        <w:rPr>
          <w:lang w:val="de-DE"/>
        </w:rPr>
        <w:t>“</w:t>
      </w:r>
      <w:r w:rsidR="00E55895" w:rsidRPr="00E55895">
        <w:rPr>
          <w:vertAlign w:val="superscript"/>
          <w:lang w:val="de-DE"/>
        </w:rPr>
        <w:footnoteReference w:id="33"/>
      </w:r>
    </w:p>
    <w:p w:rsidR="00512BFE" w:rsidRPr="00E55895" w:rsidRDefault="00C2544E" w:rsidP="00FB5FD6">
      <w:pPr>
        <w:rPr>
          <w:lang w:val="de-DE"/>
        </w:rPr>
      </w:pPr>
      <w:r>
        <w:rPr>
          <w:lang w:val="de-DE"/>
        </w:rPr>
        <w:t>Papst Johannes Paul II.</w:t>
      </w:r>
      <w:r w:rsidR="00512BFE" w:rsidRPr="00512BFE">
        <w:rPr>
          <w:lang w:val="de-DE"/>
        </w:rPr>
        <w:t xml:space="preserve"> betont hier die </w:t>
      </w:r>
      <w:r w:rsidR="00512BFE" w:rsidRPr="00351038">
        <w:rPr>
          <w:lang w:val="de-DE"/>
        </w:rPr>
        <w:t>objektive Widersprüchlichkeit</w:t>
      </w:r>
      <w:r w:rsidR="00512BFE" w:rsidRPr="00512BFE">
        <w:rPr>
          <w:lang w:val="de-DE"/>
        </w:rPr>
        <w:t>, weil durch e</w:t>
      </w:r>
      <w:r w:rsidR="00512BFE" w:rsidRPr="00512BFE">
        <w:rPr>
          <w:lang w:val="de-DE"/>
        </w:rPr>
        <w:t>i</w:t>
      </w:r>
      <w:r w:rsidR="00512BFE" w:rsidRPr="00512BFE">
        <w:rPr>
          <w:lang w:val="de-DE"/>
        </w:rPr>
        <w:t xml:space="preserve">nen derartigen Lebensstand die </w:t>
      </w:r>
      <w:r w:rsidR="00512BFE" w:rsidRPr="00351038">
        <w:rPr>
          <w:lang w:val="de-DE"/>
        </w:rPr>
        <w:t>Ehe als Zeichen des Bundes</w:t>
      </w:r>
      <w:r w:rsidR="00512BFE" w:rsidRPr="00512BFE">
        <w:rPr>
          <w:lang w:val="de-DE"/>
        </w:rPr>
        <w:t xml:space="preserve"> Gottes mit den Me</w:t>
      </w:r>
      <w:r w:rsidR="00512BFE" w:rsidRPr="00512BFE">
        <w:rPr>
          <w:lang w:val="de-DE"/>
        </w:rPr>
        <w:t>n</w:t>
      </w:r>
      <w:r w:rsidR="00512BFE" w:rsidRPr="00512BFE">
        <w:rPr>
          <w:lang w:val="de-DE"/>
        </w:rPr>
        <w:lastRenderedPageBreak/>
        <w:t xml:space="preserve">schen praktisch infrage gestellt wird. In der Teilnahme an der </w:t>
      </w:r>
      <w:r w:rsidR="00512BFE" w:rsidRPr="00351038">
        <w:rPr>
          <w:lang w:val="de-DE"/>
        </w:rPr>
        <w:t>Kommunion</w:t>
      </w:r>
      <w:r w:rsidR="00512BFE" w:rsidRPr="00512BFE">
        <w:rPr>
          <w:lang w:val="de-DE"/>
        </w:rPr>
        <w:t xml:space="preserve"> geht es aber um eine </w:t>
      </w:r>
      <w:r w:rsidR="00512BFE" w:rsidRPr="00351038">
        <w:rPr>
          <w:lang w:val="de-DE"/>
        </w:rPr>
        <w:t>Erneuerung dieser Bundesbeziehung</w:t>
      </w:r>
      <w:r w:rsidR="00512BFE" w:rsidRPr="00512BFE">
        <w:rPr>
          <w:lang w:val="de-DE"/>
        </w:rPr>
        <w:t>. Dies ist unter jenen widersprüc</w:t>
      </w:r>
      <w:r w:rsidR="00512BFE" w:rsidRPr="00512BFE">
        <w:rPr>
          <w:lang w:val="de-DE"/>
        </w:rPr>
        <w:t>h</w:t>
      </w:r>
      <w:r w:rsidR="00512BFE" w:rsidRPr="00512BFE">
        <w:rPr>
          <w:lang w:val="de-DE"/>
        </w:rPr>
        <w:t>liche</w:t>
      </w:r>
      <w:r w:rsidR="00E6732A">
        <w:rPr>
          <w:lang w:val="de-DE"/>
        </w:rPr>
        <w:t>n Voraussetzungen nicht möglich.</w:t>
      </w:r>
    </w:p>
    <w:p w:rsidR="00E55895" w:rsidRPr="00E55895" w:rsidRDefault="00E55895" w:rsidP="00FB5FD6">
      <w:pPr>
        <w:rPr>
          <w:lang w:val="de-DE"/>
        </w:rPr>
      </w:pPr>
      <w:r>
        <w:t>Auch das</w:t>
      </w:r>
      <w:r w:rsidRPr="00E55895">
        <w:t xml:space="preserve"> </w:t>
      </w:r>
      <w:r w:rsidRPr="00D30D8F">
        <w:rPr>
          <w:iCs/>
        </w:rPr>
        <w:t>Sakrament der Buße</w:t>
      </w:r>
      <w:r w:rsidRPr="00E55895">
        <w:t xml:space="preserve"> kann nur dann empfangen werden, wenn die </w:t>
      </w:r>
      <w:r w:rsidR="0088399E">
        <w:t>„</w:t>
      </w:r>
      <w:r w:rsidRPr="00E55895">
        <w:t>aufric</w:t>
      </w:r>
      <w:r w:rsidRPr="00E55895">
        <w:t>h</w:t>
      </w:r>
      <w:r w:rsidRPr="00E55895">
        <w:t xml:space="preserve">tige Bereitschaft zu einem </w:t>
      </w:r>
      <w:r w:rsidRPr="00351038">
        <w:t>Leben</w:t>
      </w:r>
      <w:r w:rsidR="0088399E">
        <w:t>“</w:t>
      </w:r>
      <w:r w:rsidRPr="00E55895">
        <w:t xml:space="preserve"> gegeben ist, </w:t>
      </w:r>
      <w:r w:rsidR="0088399E">
        <w:rPr>
          <w:lang w:val="de-DE"/>
        </w:rPr>
        <w:t>„</w:t>
      </w:r>
      <w:r w:rsidRPr="00351038">
        <w:rPr>
          <w:lang w:val="de-DE"/>
        </w:rPr>
        <w:t>das nicht mehr im Widerspruch zur Unauflöslichkeit der Ehe steht.</w:t>
      </w:r>
      <w:r w:rsidRPr="00E55895">
        <w:rPr>
          <w:lang w:val="de-DE"/>
        </w:rPr>
        <w:t xml:space="preserve"> Das heißt konkret, dass, wenn die beiden Partner aus ernsthaften Gründen – zum Beispiel wegen der Erziehung der Kinder – der </w:t>
      </w:r>
      <w:r w:rsidRPr="00351038">
        <w:rPr>
          <w:lang w:val="de-DE"/>
        </w:rPr>
        <w:t>Verpflic</w:t>
      </w:r>
      <w:r w:rsidRPr="00351038">
        <w:rPr>
          <w:lang w:val="de-DE"/>
        </w:rPr>
        <w:t>h</w:t>
      </w:r>
      <w:r w:rsidRPr="00351038">
        <w:rPr>
          <w:lang w:val="de-DE"/>
        </w:rPr>
        <w:t>tung zur Trennung</w:t>
      </w:r>
      <w:r w:rsidRPr="00E55895">
        <w:rPr>
          <w:lang w:val="de-DE"/>
        </w:rPr>
        <w:t xml:space="preserve"> nicht nachkommen können, sie sich verpflichten, </w:t>
      </w:r>
      <w:r w:rsidRPr="00351038">
        <w:rPr>
          <w:lang w:val="de-DE"/>
        </w:rPr>
        <w:t>völlig enthaltsam</w:t>
      </w:r>
      <w:r w:rsidRPr="00E55895">
        <w:rPr>
          <w:lang w:val="de-DE"/>
        </w:rPr>
        <w:t xml:space="preserve"> zu </w:t>
      </w:r>
      <w:r w:rsidRPr="00351038">
        <w:rPr>
          <w:lang w:val="de-DE"/>
        </w:rPr>
        <w:t>leben</w:t>
      </w:r>
      <w:r w:rsidRPr="00E55895">
        <w:rPr>
          <w:lang w:val="de-DE"/>
        </w:rPr>
        <w:t>, das heißt, sich der Akte zu enthalten, welche Eheleuten vorbehalten sind’.</w:t>
      </w:r>
      <w:r w:rsidR="0088399E">
        <w:rPr>
          <w:lang w:val="de-DE"/>
        </w:rPr>
        <w:t>“</w:t>
      </w:r>
      <w:r w:rsidRPr="00E55895">
        <w:rPr>
          <w:vertAlign w:val="superscript"/>
          <w:lang w:val="de-DE"/>
        </w:rPr>
        <w:footnoteReference w:id="34"/>
      </w:r>
    </w:p>
    <w:p w:rsidR="00E55895" w:rsidRDefault="00E55895" w:rsidP="00FB5FD6">
      <w:r w:rsidRPr="00E55895">
        <w:t xml:space="preserve">Wer dazu (noch) nicht in der Lage ist, soll das </w:t>
      </w:r>
      <w:r w:rsidRPr="00351038">
        <w:t>Gebet</w:t>
      </w:r>
      <w:r w:rsidRPr="00E55895">
        <w:t xml:space="preserve"> nicht aufgeben und die sakr</w:t>
      </w:r>
      <w:r w:rsidRPr="00E55895">
        <w:t>a</w:t>
      </w:r>
      <w:r w:rsidRPr="00E55895">
        <w:t xml:space="preserve">mentale Ordnung der Kirche respektieren. Die </w:t>
      </w:r>
      <w:r w:rsidRPr="00351038">
        <w:t>Gnade Gottes</w:t>
      </w:r>
      <w:r w:rsidRPr="00E55895">
        <w:t xml:space="preserve"> eröffnet jenen einen Weg der Umkehr und des Heils, die in Gebet, Buße und christlicher Liebe </w:t>
      </w:r>
      <w:r w:rsidRPr="00351038">
        <w:t>das tun, was ihnen möglich ist</w:t>
      </w:r>
      <w:r w:rsidRPr="00E55895">
        <w:t>, auch wenn sie (vorerst) die Sakramente nicht empfangen können.</w:t>
      </w:r>
    </w:p>
    <w:p w:rsidR="00BE65C9" w:rsidRDefault="0013592C" w:rsidP="00FB5FD6">
      <w:r>
        <w:t>Folgender</w:t>
      </w:r>
      <w:r w:rsidR="00BE65C9">
        <w:t xml:space="preserve"> </w:t>
      </w:r>
      <w:r w:rsidR="00BE65C9" w:rsidRPr="00351038">
        <w:t>Einwand</w:t>
      </w:r>
      <w:r w:rsidR="00BE65C9">
        <w:t xml:space="preserve"> wird vorgebracht: Kein Mensch ist ohne Sünde, und die christl</w:t>
      </w:r>
      <w:r w:rsidR="00BE65C9">
        <w:t>i</w:t>
      </w:r>
      <w:r w:rsidR="00BE65C9">
        <w:t xml:space="preserve">che Religion zeichnet sich gerade dadurch aus, dass sie den Sünder, der umkehrt, wieder aufnimmt und respektiert, ja sich sogar über seine Rückkehr freut. Wenn nun jemand einsieht, dass er zwar durch eine </w:t>
      </w:r>
      <w:r w:rsidR="0088399E">
        <w:t>„</w:t>
      </w:r>
      <w:proofErr w:type="spellStart"/>
      <w:r w:rsidR="00BE65C9">
        <w:t>Zweitehe</w:t>
      </w:r>
      <w:proofErr w:type="spellEnd"/>
      <w:r w:rsidR="0088399E">
        <w:t>“</w:t>
      </w:r>
      <w:r w:rsidR="00BE65C9">
        <w:t xml:space="preserve"> gegen das Gebot der ehelichen </w:t>
      </w:r>
      <w:r w:rsidR="00DC75DC" w:rsidRPr="00DC75DC">
        <w:rPr>
          <w:highlight w:val="yellow"/>
        </w:rPr>
        <w:t>187</w:t>
      </w:r>
      <w:r w:rsidR="00DC75DC">
        <w:t xml:space="preserve"> </w:t>
      </w:r>
      <w:r w:rsidR="00BE65C9">
        <w:t xml:space="preserve">Treue zum rechtmäßigen Partner verstoßen hat, er aber dann gleichsam nicht mehr </w:t>
      </w:r>
      <w:r w:rsidR="0088399E">
        <w:t>„</w:t>
      </w:r>
      <w:r w:rsidR="00BE65C9">
        <w:t>zurück</w:t>
      </w:r>
      <w:r w:rsidR="0088399E">
        <w:t>“</w:t>
      </w:r>
      <w:r w:rsidR="00BE65C9">
        <w:t xml:space="preserve"> kann und </w:t>
      </w:r>
      <w:r>
        <w:t>in der Folge nach einer Zeit der Reue und Besinnung</w:t>
      </w:r>
      <w:r w:rsidR="00BE65C9">
        <w:t xml:space="preserve"> die Zulassung zu den Sakramenten der Buße und der Eucharistie erbittet, wie kann ihm dies die </w:t>
      </w:r>
      <w:r w:rsidR="00BE65C9" w:rsidRPr="00351038">
        <w:t>Kirche</w:t>
      </w:r>
      <w:r w:rsidR="00BE65C9">
        <w:t xml:space="preserve"> verweigern? </w:t>
      </w:r>
      <w:r w:rsidRPr="00351038">
        <w:t xml:space="preserve">Verstößt </w:t>
      </w:r>
      <w:r w:rsidRPr="0013592C">
        <w:t>sie hier nicht</w:t>
      </w:r>
      <w:r w:rsidRPr="00351038">
        <w:t xml:space="preserve"> gegen das Gebot der Barmherzi</w:t>
      </w:r>
      <w:r w:rsidRPr="00351038">
        <w:t>g</w:t>
      </w:r>
      <w:r w:rsidRPr="00351038">
        <w:t>keit mit den Sündern</w:t>
      </w:r>
      <w:r>
        <w:t>, wenn sie diese Sünde nicht vergibt</w:t>
      </w:r>
      <w:r w:rsidR="006059E5">
        <w:t>,</w:t>
      </w:r>
      <w:r>
        <w:t xml:space="preserve"> </w:t>
      </w:r>
      <w:r w:rsidR="006059E5">
        <w:t>während</w:t>
      </w:r>
      <w:r>
        <w:t xml:space="preserve"> andere, vielleicht schlimmere Sünden Vergebung finden können? </w:t>
      </w:r>
      <w:r w:rsidR="00BE65C9">
        <w:t xml:space="preserve">Hier sind </w:t>
      </w:r>
      <w:r w:rsidR="001E6E2D">
        <w:t>mehrere</w:t>
      </w:r>
      <w:r w:rsidR="00BE65C9">
        <w:t xml:space="preserve"> Dinge klarzuste</w:t>
      </w:r>
      <w:r w:rsidR="00BE65C9">
        <w:t>l</w:t>
      </w:r>
      <w:r w:rsidR="00BE65C9">
        <w:t>len und zu unterscheiden:</w:t>
      </w:r>
    </w:p>
    <w:p w:rsidR="001E6E2D" w:rsidRDefault="0086401B" w:rsidP="00FB5FD6">
      <w:pPr>
        <w:pStyle w:val="Listenabsatz"/>
        <w:numPr>
          <w:ilvl w:val="0"/>
          <w:numId w:val="4"/>
        </w:numPr>
      </w:pPr>
      <w:r>
        <w:t>Man muss</w:t>
      </w:r>
      <w:r w:rsidR="0013592C">
        <w:t xml:space="preserve"> zugeben: </w:t>
      </w:r>
      <w:r w:rsidR="001E6E2D" w:rsidRPr="00351038">
        <w:t>Nicht in jedem Fall</w:t>
      </w:r>
      <w:r w:rsidR="001E6E2D">
        <w:t xml:space="preserve"> ist es </w:t>
      </w:r>
      <w:r w:rsidR="001E6E2D" w:rsidRPr="00351038">
        <w:t>möglich</w:t>
      </w:r>
      <w:r w:rsidR="001E6E2D">
        <w:t xml:space="preserve">, </w:t>
      </w:r>
      <w:r w:rsidR="0013592C">
        <w:t xml:space="preserve">dass jemand </w:t>
      </w:r>
      <w:r w:rsidR="001E6E2D" w:rsidRPr="00351038">
        <w:t>zur</w:t>
      </w:r>
      <w:r w:rsidR="001E6E2D">
        <w:t xml:space="preserve"> früh</w:t>
      </w:r>
      <w:r w:rsidR="001E6E2D">
        <w:t>e</w:t>
      </w:r>
      <w:r w:rsidR="001E6E2D">
        <w:t xml:space="preserve">ren </w:t>
      </w:r>
      <w:r w:rsidR="001E6E2D" w:rsidRPr="00351038">
        <w:t>rechtmäßigen Lebensgemeinschaft</w:t>
      </w:r>
      <w:r w:rsidR="001E6E2D">
        <w:t xml:space="preserve"> in der sakramental noch bestehenden Ehe </w:t>
      </w:r>
      <w:r w:rsidR="001E6E2D" w:rsidRPr="00351038">
        <w:t>zurückkehr</w:t>
      </w:r>
      <w:r w:rsidR="0013592C" w:rsidRPr="00351038">
        <w:t>t</w:t>
      </w:r>
      <w:r w:rsidR="001E6E2D">
        <w:t xml:space="preserve">. Hindernisse ergeben sich vor allem dann, wenn einer der beiden rechtmäßigen Ehepartner diese Art von Versöhnung nicht will. Auch kann es sein, dass aus der neuen Verbindung Kinder hervorgegangen sind und man die neue Familie nicht wieder auseinander reißen will. Oder es mag sein, dass jemand einfach froh ist, freundschaftlichen Beistand durch den neuen zivilen Gatten/die zivile Gattin gefunden zu haben, und er/sie deshalb eine </w:t>
      </w:r>
      <w:r w:rsidR="0013592C">
        <w:t>Auflösung der neuen Verbindung</w:t>
      </w:r>
      <w:r w:rsidR="001E6E2D">
        <w:t xml:space="preserve"> ausschließt.</w:t>
      </w:r>
    </w:p>
    <w:p w:rsidR="001E6E2D" w:rsidRDefault="001E6E2D" w:rsidP="00FB5FD6">
      <w:pPr>
        <w:pStyle w:val="Listenabsatz"/>
        <w:numPr>
          <w:ilvl w:val="0"/>
          <w:numId w:val="4"/>
        </w:numPr>
      </w:pPr>
      <w:r>
        <w:t xml:space="preserve">Der </w:t>
      </w:r>
      <w:r w:rsidRPr="00351038">
        <w:t xml:space="preserve">Kern des </w:t>
      </w:r>
      <w:r w:rsidR="006059E5" w:rsidRPr="00351038">
        <w:t xml:space="preserve">sittlichen und sakramentalen </w:t>
      </w:r>
      <w:r w:rsidRPr="00351038">
        <w:t>Problems</w:t>
      </w:r>
      <w:r>
        <w:t xml:space="preserve"> liegt</w:t>
      </w:r>
      <w:r w:rsidR="0013592C">
        <w:t xml:space="preserve"> nicht im äußeren Zusammenleben, sondern</w:t>
      </w:r>
      <w:r>
        <w:t xml:space="preserve"> </w:t>
      </w:r>
      <w:r w:rsidRPr="00351038">
        <w:t>in einer aufrechterhaltenen sexuellen Gemeinschaft</w:t>
      </w:r>
      <w:r>
        <w:t xml:space="preserve"> zweier Partner, die sakramental </w:t>
      </w:r>
      <w:r w:rsidR="006059E5" w:rsidRPr="00351038">
        <w:t>nicht</w:t>
      </w:r>
      <w:r w:rsidR="006059E5">
        <w:t xml:space="preserve"> </w:t>
      </w:r>
      <w:r>
        <w:t xml:space="preserve">miteinander </w:t>
      </w:r>
      <w:r w:rsidRPr="00351038">
        <w:t>verheiratet</w:t>
      </w:r>
      <w:r>
        <w:t xml:space="preserve"> sind.</w:t>
      </w:r>
      <w:r w:rsidR="00D26F45">
        <w:rPr>
          <w:rStyle w:val="Funotenzeichen"/>
        </w:rPr>
        <w:footnoteReference w:id="35"/>
      </w:r>
      <w:r>
        <w:t xml:space="preserve"> Weil di</w:t>
      </w:r>
      <w:r>
        <w:t>e</w:t>
      </w:r>
      <w:r>
        <w:lastRenderedPageBreak/>
        <w:t xml:space="preserve">se Form der Intimität von der Sache her in ein </w:t>
      </w:r>
      <w:r w:rsidRPr="00351038">
        <w:t xml:space="preserve">Konkurrenzverhältnis </w:t>
      </w:r>
      <w:r w:rsidR="0086401B">
        <w:t>zu den Ansprüchen der</w:t>
      </w:r>
      <w:r>
        <w:t xml:space="preserve"> rechtmäßigen und noch bestehenden </w:t>
      </w:r>
      <w:r w:rsidRPr="00351038">
        <w:t>Ehe</w:t>
      </w:r>
      <w:r>
        <w:t xml:space="preserve"> tritt, handelt es sich hier tatsächlich – wie der </w:t>
      </w:r>
      <w:r w:rsidR="0088399E">
        <w:t>„</w:t>
      </w:r>
      <w:r>
        <w:t>Katechismus der Katholischen Kirche</w:t>
      </w:r>
      <w:r w:rsidR="0088399E">
        <w:t>“</w:t>
      </w:r>
      <w:r>
        <w:t xml:space="preserve"> einde</w:t>
      </w:r>
      <w:r>
        <w:t>u</w:t>
      </w:r>
      <w:r>
        <w:t xml:space="preserve">tig feststellt – um fortgesetzten öffentlichen </w:t>
      </w:r>
      <w:r w:rsidRPr="00351038">
        <w:t>Ehebruch</w:t>
      </w:r>
      <w:r>
        <w:t>.</w:t>
      </w:r>
      <w:r w:rsidR="007E5A3B">
        <w:rPr>
          <w:rStyle w:val="Funotenzeichen"/>
        </w:rPr>
        <w:footnoteReference w:id="36"/>
      </w:r>
    </w:p>
    <w:p w:rsidR="001E6E2D" w:rsidRDefault="001E6E2D" w:rsidP="00FB5FD6">
      <w:pPr>
        <w:pStyle w:val="Listenabsatz"/>
        <w:numPr>
          <w:ilvl w:val="0"/>
          <w:numId w:val="4"/>
        </w:numPr>
      </w:pPr>
      <w:r>
        <w:t xml:space="preserve">Von daher kann man dann aber sehr wohl sagen: Wo wirklich die </w:t>
      </w:r>
      <w:r w:rsidRPr="00351038">
        <w:t xml:space="preserve">Bereitschaft zur Umkehr </w:t>
      </w:r>
      <w:r>
        <w:t xml:space="preserve">besteht, zeigt sie sich gerade darin, </w:t>
      </w:r>
      <w:r w:rsidRPr="00351038">
        <w:t xml:space="preserve">sich von </w:t>
      </w:r>
      <w:r w:rsidR="00553C57" w:rsidRPr="00351038">
        <w:t xml:space="preserve">sexuellen </w:t>
      </w:r>
      <w:r w:rsidRPr="00351038">
        <w:t>Akten</w:t>
      </w:r>
      <w:r>
        <w:t xml:space="preserve"> mit einem anderen als dem recht</w:t>
      </w:r>
      <w:r w:rsidR="00553C57">
        <w:t xml:space="preserve">mäßigen Ehepartner zu </w:t>
      </w:r>
      <w:r w:rsidR="00553C57" w:rsidRPr="00351038">
        <w:t>enthalten</w:t>
      </w:r>
      <w:r>
        <w:t xml:space="preserve">. Noch klarer </w:t>
      </w:r>
      <w:r w:rsidR="00E703BB">
        <w:t xml:space="preserve">und jetzt positiv </w:t>
      </w:r>
      <w:r>
        <w:t xml:space="preserve">ausgedrückt heißt dies: </w:t>
      </w:r>
      <w:r w:rsidR="00553C57">
        <w:t>Wenn</w:t>
      </w:r>
      <w:r>
        <w:t xml:space="preserve"> in einer neuen, kirchlich nicht anerkannten eheähnlichen Verbindung die Bereitschaft zur sexuellen Enthal</w:t>
      </w:r>
      <w:r>
        <w:t>t</w:t>
      </w:r>
      <w:r>
        <w:t xml:space="preserve">samkeit da ist, sind die </w:t>
      </w:r>
      <w:r w:rsidRPr="00351038">
        <w:t xml:space="preserve">Voraussetzungen </w:t>
      </w:r>
      <w:r w:rsidR="00E703BB" w:rsidRPr="00351038">
        <w:t xml:space="preserve">für Umkehr und Vergebung </w:t>
      </w:r>
      <w:r w:rsidR="00553C57" w:rsidRPr="00351038">
        <w:t>geg</w:t>
      </w:r>
      <w:r w:rsidR="00553C57" w:rsidRPr="00351038">
        <w:t>e</w:t>
      </w:r>
      <w:r w:rsidR="00553C57" w:rsidRPr="00351038">
        <w:t>ben</w:t>
      </w:r>
      <w:r>
        <w:t>. Diese</w:t>
      </w:r>
      <w:r w:rsidR="00E703BB">
        <w:t xml:space="preserve"> Personen</w:t>
      </w:r>
      <w:r>
        <w:t xml:space="preserve"> können tatsächlich zu den </w:t>
      </w:r>
      <w:r w:rsidRPr="00351038">
        <w:t>Sakramenten der Buße</w:t>
      </w:r>
      <w:r>
        <w:t xml:space="preserve"> und der </w:t>
      </w:r>
      <w:r w:rsidRPr="00351038">
        <w:t>Eucharistie</w:t>
      </w:r>
      <w:r>
        <w:t xml:space="preserve"> zugelassen werden, wobei Ärgernis zu vermeiden ist.</w:t>
      </w:r>
      <w:r w:rsidR="00916F28">
        <w:t xml:space="preserve"> Man sollte </w:t>
      </w:r>
      <w:r w:rsidR="00916F28" w:rsidRPr="00351038">
        <w:t>nicht von vornherein</w:t>
      </w:r>
      <w:r w:rsidR="00916F28">
        <w:t xml:space="preserve"> einen solchen Weg als </w:t>
      </w:r>
      <w:r w:rsidR="00916F28" w:rsidRPr="00351038">
        <w:t>unrealistisch</w:t>
      </w:r>
      <w:r w:rsidR="006D50B2">
        <w:t xml:space="preserve"> abtun, auch wenn er gewiss anspruchsvoll ist und ihn nicht alle gehen wollen.</w:t>
      </w:r>
    </w:p>
    <w:p w:rsidR="00916F28" w:rsidRDefault="00DC75DC" w:rsidP="00FB5FD6">
      <w:r w:rsidRPr="00DC75DC">
        <w:rPr>
          <w:highlight w:val="yellow"/>
        </w:rPr>
        <w:t>189</w:t>
      </w:r>
      <w:r>
        <w:t xml:space="preserve"> </w:t>
      </w:r>
      <w:r w:rsidR="00916F28">
        <w:t xml:space="preserve">Wer dazu </w:t>
      </w:r>
      <w:r w:rsidR="00553C57">
        <w:t>(</w:t>
      </w:r>
      <w:r w:rsidR="00916F28">
        <w:t>noch</w:t>
      </w:r>
      <w:r w:rsidR="00553C57">
        <w:t>)</w:t>
      </w:r>
      <w:r w:rsidR="00916F28">
        <w:t xml:space="preserve"> nicht bereit ist, kann zwar die Sakramente nicht empfangen, solange dieser ungeordnete Zustand andauert, ist aber dennoch eingeladen, am L</w:t>
      </w:r>
      <w:r w:rsidR="00916F28">
        <w:t>e</w:t>
      </w:r>
      <w:r w:rsidR="00916F28">
        <w:t xml:space="preserve">ben der Kirche so weit </w:t>
      </w:r>
      <w:r w:rsidR="006D50B2">
        <w:t>wie</w:t>
      </w:r>
      <w:r w:rsidR="00916F28">
        <w:t xml:space="preserve"> möglich teilzunehmen. In diesem Zusammenhang kann man auch anmerken, dass der </w:t>
      </w:r>
      <w:r w:rsidR="00916F28" w:rsidRPr="00351038">
        <w:t>Ausschluss vom Empfang der heiligen Kommunion</w:t>
      </w:r>
      <w:r w:rsidR="00916F28">
        <w:t xml:space="preserve"> nicht nur für geschiedene und zivil wiederverheiratete Personen </w:t>
      </w:r>
      <w:r w:rsidR="00553C57">
        <w:t>gilt</w:t>
      </w:r>
      <w:r w:rsidR="00916F28">
        <w:t xml:space="preserve">, sondern </w:t>
      </w:r>
      <w:r w:rsidR="00916F28" w:rsidRPr="00351038">
        <w:t>für all jene, die</w:t>
      </w:r>
      <w:r w:rsidR="00916F28">
        <w:t xml:space="preserve"> für dieses Sakrament </w:t>
      </w:r>
      <w:r w:rsidR="00553C57">
        <w:t xml:space="preserve">aus oft verschiedenen Gründen </w:t>
      </w:r>
      <w:r w:rsidR="00553C57" w:rsidRPr="00351038">
        <w:t xml:space="preserve">nicht </w:t>
      </w:r>
      <w:r w:rsidR="00B30C52" w:rsidRPr="00351038">
        <w:t xml:space="preserve">ausreichend </w:t>
      </w:r>
      <w:r w:rsidR="00916F28" w:rsidRPr="00351038">
        <w:t>disponiert</w:t>
      </w:r>
      <w:r w:rsidR="00916F28">
        <w:t xml:space="preserve"> sind. Wollten hier alle Gläubigen ihre eigene Verantwortung stärker wah</w:t>
      </w:r>
      <w:r w:rsidR="00916F28">
        <w:t>r</w:t>
      </w:r>
      <w:r w:rsidR="00916F28">
        <w:t xml:space="preserve">nehmen, dann gäbe es </w:t>
      </w:r>
      <w:r w:rsidR="00553C57" w:rsidRPr="00351038">
        <w:t>keine</w:t>
      </w:r>
      <w:r w:rsidR="00916F28" w:rsidRPr="00351038">
        <w:t xml:space="preserve"> Selbstverständlichkeit des Kommunionempfanges</w:t>
      </w:r>
      <w:r w:rsidR="00553C57" w:rsidRPr="00351038">
        <w:t>,</w:t>
      </w:r>
      <w:r w:rsidR="00916F28">
        <w:t xml:space="preserve"> und ein fallweises oder aufgrund der Lebenssituation</w:t>
      </w:r>
      <w:r w:rsidR="00CE1CBD">
        <w:t xml:space="preserve"> auch länger</w:t>
      </w:r>
      <w:r w:rsidR="00916F28">
        <w:t xml:space="preserve"> dauerndes </w:t>
      </w:r>
      <w:r w:rsidR="006D50B2">
        <w:t>Ausg</w:t>
      </w:r>
      <w:r w:rsidR="006D50B2">
        <w:t>e</w:t>
      </w:r>
      <w:r w:rsidR="006D50B2">
        <w:t xml:space="preserve">schlossen-Sein </w:t>
      </w:r>
      <w:r w:rsidR="00916F28">
        <w:t xml:space="preserve">von der sakramentalen Kommunion würde </w:t>
      </w:r>
      <w:r w:rsidR="00916F28" w:rsidRPr="00351038">
        <w:t>nicht</w:t>
      </w:r>
      <w:r w:rsidR="00916F28">
        <w:t xml:space="preserve"> als </w:t>
      </w:r>
      <w:r w:rsidR="00916F28" w:rsidRPr="00351038">
        <w:t>Diskriminierung</w:t>
      </w:r>
      <w:r w:rsidR="00916F28">
        <w:t xml:space="preserve"> empfunden</w:t>
      </w:r>
      <w:r w:rsidR="00CE1CBD">
        <w:t>, sondern als heilsamer Aufruf zur Klärung der eigenen Situation im Sinne der stets nötigen Umkehr zu Gott</w:t>
      </w:r>
      <w:r w:rsidR="00916F28">
        <w:t>.</w:t>
      </w:r>
      <w:r w:rsidR="006D50B2">
        <w:rPr>
          <w:rStyle w:val="Funotenzeichen"/>
        </w:rPr>
        <w:footnoteReference w:id="37"/>
      </w:r>
    </w:p>
    <w:p w:rsidR="00E55895" w:rsidRPr="00E55895" w:rsidRDefault="00E55895" w:rsidP="00FB5FD6">
      <w:r>
        <w:t xml:space="preserve">Johannes Paul II. </w:t>
      </w:r>
      <w:r w:rsidR="00553C57">
        <w:t>hat</w:t>
      </w:r>
      <w:r>
        <w:t xml:space="preserve"> im Hinblick auf solche Verbindungen noch ein</w:t>
      </w:r>
      <w:r w:rsidR="00553C57">
        <w:t>en speziellen</w:t>
      </w:r>
      <w:r>
        <w:t xml:space="preserve"> Punkt angesprochen. </w:t>
      </w:r>
      <w:r w:rsidRPr="00E271E7">
        <w:rPr>
          <w:i/>
        </w:rPr>
        <w:t>Liturgische Segensfeiern</w:t>
      </w:r>
      <w:r w:rsidRPr="00E55895">
        <w:t xml:space="preserve"> für Geschiedene, die zivil heiraten</w:t>
      </w:r>
      <w:r w:rsidR="005B0F97">
        <w:rPr>
          <w:rStyle w:val="Funotenzeichen"/>
        </w:rPr>
        <w:footnoteReference w:id="38"/>
      </w:r>
      <w:r w:rsidRPr="00E55895">
        <w:t>, sind</w:t>
      </w:r>
      <w:r w:rsidR="00B30C52">
        <w:t xml:space="preserve"> ebenfalls</w:t>
      </w:r>
      <w:r w:rsidRPr="00E55895">
        <w:t xml:space="preserve"> </w:t>
      </w:r>
      <w:r w:rsidRPr="00E271E7">
        <w:rPr>
          <w:i/>
        </w:rPr>
        <w:t>nicht möglich:</w:t>
      </w:r>
    </w:p>
    <w:p w:rsidR="000F4614" w:rsidRDefault="0088399E" w:rsidP="00FB5FD6">
      <w:pPr>
        <w:rPr>
          <w:lang w:val="de-DE"/>
        </w:rPr>
      </w:pPr>
      <w:r>
        <w:rPr>
          <w:lang w:val="de-DE"/>
        </w:rPr>
        <w:t>„</w:t>
      </w:r>
      <w:r w:rsidR="00E55895" w:rsidRPr="00E55895">
        <w:rPr>
          <w:lang w:val="de-DE"/>
        </w:rPr>
        <w:t xml:space="preserve">Die erforderliche Achtung vor dem Sakrament der Ehe, vor den Eheleuten selbst und deren Angehörigen wie auch gegenüber der Gemeinschaft der Gläubigen </w:t>
      </w:r>
      <w:r w:rsidR="00E55895" w:rsidRPr="00351038">
        <w:rPr>
          <w:lang w:val="de-DE"/>
        </w:rPr>
        <w:t>ve</w:t>
      </w:r>
      <w:r w:rsidR="00E55895" w:rsidRPr="00351038">
        <w:rPr>
          <w:lang w:val="de-DE"/>
        </w:rPr>
        <w:t>r</w:t>
      </w:r>
      <w:r w:rsidR="00E55895" w:rsidRPr="00351038">
        <w:rPr>
          <w:lang w:val="de-DE"/>
        </w:rPr>
        <w:t>bietet es jedem Geistlichen</w:t>
      </w:r>
      <w:r w:rsidR="00E55895" w:rsidRPr="00E55895">
        <w:rPr>
          <w:lang w:val="de-DE"/>
        </w:rPr>
        <w:t xml:space="preserve">, aus welchem Grund oder Vorwand auch immer, sei er auch pastoraler Natur, </w:t>
      </w:r>
      <w:r w:rsidR="00E55895" w:rsidRPr="00351038">
        <w:rPr>
          <w:lang w:val="de-DE"/>
        </w:rPr>
        <w:t>für Geschiedene, die sich wiederverheiraten, irgendwelche liturgischen Handlungen vorzunehmen</w:t>
      </w:r>
      <w:r w:rsidR="00E55895" w:rsidRPr="00E55895">
        <w:rPr>
          <w:lang w:val="de-DE"/>
        </w:rPr>
        <w:t>. Sie würden ja den Eindruck einer neuen sa</w:t>
      </w:r>
      <w:r w:rsidR="00E55895" w:rsidRPr="00E55895">
        <w:rPr>
          <w:lang w:val="de-DE"/>
        </w:rPr>
        <w:t>k</w:t>
      </w:r>
      <w:r w:rsidR="00E55895" w:rsidRPr="00E55895">
        <w:rPr>
          <w:lang w:val="de-DE"/>
        </w:rPr>
        <w:t xml:space="preserve">ramental gültigen Eheschließung erwecken und daher zu </w:t>
      </w:r>
      <w:r w:rsidR="00E55895" w:rsidRPr="00351038">
        <w:rPr>
          <w:lang w:val="de-DE"/>
        </w:rPr>
        <w:t>Irrtümern hinsichtlich der Unauflöslichkeit</w:t>
      </w:r>
      <w:r w:rsidR="00E55895" w:rsidRPr="00E55895">
        <w:rPr>
          <w:lang w:val="de-DE"/>
        </w:rPr>
        <w:t xml:space="preserve"> der gültig geschlossenen Ehe führen.</w:t>
      </w:r>
      <w:r>
        <w:rPr>
          <w:lang w:val="de-DE"/>
        </w:rPr>
        <w:t>“</w:t>
      </w:r>
      <w:r w:rsidR="00E55895" w:rsidRPr="00E55895">
        <w:rPr>
          <w:vertAlign w:val="superscript"/>
          <w:lang w:val="de-DE"/>
        </w:rPr>
        <w:footnoteReference w:id="39"/>
      </w:r>
    </w:p>
    <w:p w:rsidR="0018610C" w:rsidRDefault="006D50B2" w:rsidP="00FB5FD6">
      <w:pPr>
        <w:rPr>
          <w:lang w:val="de-DE"/>
        </w:rPr>
      </w:pPr>
      <w:r>
        <w:rPr>
          <w:lang w:val="de-DE"/>
        </w:rPr>
        <w:t xml:space="preserve">Gegenüber einer von diesen Weisungen </w:t>
      </w:r>
      <w:r w:rsidRPr="00351038">
        <w:rPr>
          <w:lang w:val="de-DE"/>
        </w:rPr>
        <w:t>abweichenden pastoralen Praxis</w:t>
      </w:r>
      <w:r w:rsidR="0018610C">
        <w:rPr>
          <w:lang w:val="de-DE"/>
        </w:rPr>
        <w:t xml:space="preserve"> kann </w:t>
      </w:r>
      <w:r>
        <w:rPr>
          <w:lang w:val="de-DE"/>
        </w:rPr>
        <w:t xml:space="preserve">ist </w:t>
      </w:r>
      <w:r w:rsidRPr="00351038">
        <w:rPr>
          <w:lang w:val="de-DE"/>
        </w:rPr>
        <w:t>kritisch</w:t>
      </w:r>
      <w:r>
        <w:rPr>
          <w:lang w:val="de-DE"/>
        </w:rPr>
        <w:t xml:space="preserve"> anzufragen</w:t>
      </w:r>
      <w:r w:rsidR="0018610C">
        <w:rPr>
          <w:lang w:val="de-DE"/>
        </w:rPr>
        <w:t>:</w:t>
      </w:r>
    </w:p>
    <w:p w:rsidR="0018610C" w:rsidRDefault="0018610C" w:rsidP="00FB5FD6">
      <w:pPr>
        <w:pStyle w:val="Listenabsatz"/>
        <w:numPr>
          <w:ilvl w:val="0"/>
          <w:numId w:val="3"/>
        </w:numPr>
        <w:rPr>
          <w:lang w:val="de-DE"/>
        </w:rPr>
      </w:pPr>
      <w:r>
        <w:rPr>
          <w:lang w:val="de-DE"/>
        </w:rPr>
        <w:lastRenderedPageBreak/>
        <w:t xml:space="preserve">Geht durch die </w:t>
      </w:r>
      <w:r w:rsidR="0088399E">
        <w:rPr>
          <w:lang w:val="de-DE"/>
        </w:rPr>
        <w:t>„</w:t>
      </w:r>
      <w:r>
        <w:rPr>
          <w:lang w:val="de-DE"/>
        </w:rPr>
        <w:t>Sonderpraxis</w:t>
      </w:r>
      <w:r w:rsidR="0088399E">
        <w:rPr>
          <w:lang w:val="de-DE"/>
        </w:rPr>
        <w:t>“</w:t>
      </w:r>
      <w:r w:rsidR="00612E0C">
        <w:rPr>
          <w:lang w:val="de-DE"/>
        </w:rPr>
        <w:t xml:space="preserve"> einzelner Pfarrer, wenn sie hier vielleicht auch besten Willens „vorpreschen“ und derartige Paare liturgisch segnen,</w:t>
      </w:r>
      <w:r>
        <w:rPr>
          <w:lang w:val="de-DE"/>
        </w:rPr>
        <w:t xml:space="preserve"> nicht die </w:t>
      </w:r>
      <w:r w:rsidRPr="00351038">
        <w:rPr>
          <w:lang w:val="de-DE"/>
        </w:rPr>
        <w:t>kirchliche Einheit</w:t>
      </w:r>
      <w:r>
        <w:rPr>
          <w:lang w:val="de-DE"/>
        </w:rPr>
        <w:t xml:space="preserve"> in einem wesentlichen Punkt verloren? Die Folge ist, dass dann </w:t>
      </w:r>
      <w:r w:rsidR="00612E0C">
        <w:rPr>
          <w:lang w:val="de-DE"/>
        </w:rPr>
        <w:t>Priester</w:t>
      </w:r>
      <w:r>
        <w:rPr>
          <w:lang w:val="de-DE"/>
        </w:rPr>
        <w:t xml:space="preserve"> gegeneinander ausgespielt und in </w:t>
      </w:r>
      <w:r w:rsidR="0088399E">
        <w:rPr>
          <w:lang w:val="de-DE"/>
        </w:rPr>
        <w:t>„</w:t>
      </w:r>
      <w:r>
        <w:rPr>
          <w:lang w:val="de-DE"/>
        </w:rPr>
        <w:t>gute</w:t>
      </w:r>
      <w:r w:rsidR="0088399E">
        <w:rPr>
          <w:lang w:val="de-DE"/>
        </w:rPr>
        <w:t>“</w:t>
      </w:r>
      <w:r>
        <w:rPr>
          <w:lang w:val="de-DE"/>
        </w:rPr>
        <w:t xml:space="preserve"> und </w:t>
      </w:r>
      <w:r w:rsidR="0088399E">
        <w:rPr>
          <w:lang w:val="de-DE"/>
        </w:rPr>
        <w:t>„</w:t>
      </w:r>
      <w:r>
        <w:rPr>
          <w:lang w:val="de-DE"/>
        </w:rPr>
        <w:t>böse</w:t>
      </w:r>
      <w:r w:rsidR="0088399E">
        <w:rPr>
          <w:lang w:val="de-DE"/>
        </w:rPr>
        <w:t>“</w:t>
      </w:r>
      <w:r w:rsidR="00612E0C">
        <w:rPr>
          <w:lang w:val="de-DE"/>
        </w:rPr>
        <w:t xml:space="preserve"> (oder in „fortschrittliche“ und „altmodische“)</w:t>
      </w:r>
      <w:r>
        <w:rPr>
          <w:lang w:val="de-DE"/>
        </w:rPr>
        <w:t xml:space="preserve"> unterteilt werden. Ausdrücklich geht es </w:t>
      </w:r>
      <w:r w:rsidR="00612E0C">
        <w:rPr>
          <w:lang w:val="de-DE"/>
        </w:rPr>
        <w:t xml:space="preserve">hier </w:t>
      </w:r>
      <w:r>
        <w:rPr>
          <w:lang w:val="de-DE"/>
        </w:rPr>
        <w:t>nicht um eine B</w:t>
      </w:r>
      <w:r w:rsidR="00612E0C">
        <w:rPr>
          <w:lang w:val="de-DE"/>
        </w:rPr>
        <w:t>ewertung der subjektiven Motive</w:t>
      </w:r>
      <w:r w:rsidR="00E271E7">
        <w:rPr>
          <w:lang w:val="de-DE"/>
        </w:rPr>
        <w:t xml:space="preserve"> solcher Seelsorger</w:t>
      </w:r>
      <w:r w:rsidR="00612E0C">
        <w:rPr>
          <w:lang w:val="de-DE"/>
        </w:rPr>
        <w:t xml:space="preserve">, doch kann </w:t>
      </w:r>
      <w:r>
        <w:rPr>
          <w:lang w:val="de-DE"/>
        </w:rPr>
        <w:t xml:space="preserve">man </w:t>
      </w:r>
      <w:r w:rsidR="00612E0C">
        <w:rPr>
          <w:lang w:val="de-DE"/>
        </w:rPr>
        <w:t>a</w:t>
      </w:r>
      <w:r w:rsidR="006D50B2">
        <w:rPr>
          <w:lang w:val="de-DE"/>
        </w:rPr>
        <w:t>u</w:t>
      </w:r>
      <w:r>
        <w:rPr>
          <w:lang w:val="de-DE"/>
        </w:rPr>
        <w:t>ch guten Glaubens</w:t>
      </w:r>
      <w:r w:rsidR="00786CCD">
        <w:rPr>
          <w:lang w:val="de-DE"/>
        </w:rPr>
        <w:t xml:space="preserve"> etwas objektiv Falsches tun.</w:t>
      </w:r>
    </w:p>
    <w:p w:rsidR="0018610C" w:rsidRDefault="0018610C" w:rsidP="00FB5FD6">
      <w:pPr>
        <w:pStyle w:val="Listenabsatz"/>
        <w:numPr>
          <w:ilvl w:val="0"/>
          <w:numId w:val="3"/>
        </w:numPr>
        <w:rPr>
          <w:lang w:val="de-DE"/>
        </w:rPr>
      </w:pPr>
      <w:r w:rsidRPr="00351038">
        <w:rPr>
          <w:lang w:val="de-DE"/>
        </w:rPr>
        <w:t>Wie</w:t>
      </w:r>
      <w:r>
        <w:rPr>
          <w:lang w:val="de-DE"/>
        </w:rPr>
        <w:t xml:space="preserve"> werden solche Segensfeiern </w:t>
      </w:r>
      <w:r w:rsidR="00612E0C">
        <w:rPr>
          <w:lang w:val="de-DE"/>
        </w:rPr>
        <w:t xml:space="preserve">im Einzelfall </w:t>
      </w:r>
      <w:r w:rsidRPr="00351038">
        <w:rPr>
          <w:lang w:val="de-DE"/>
        </w:rPr>
        <w:t>gestaltet?</w:t>
      </w:r>
      <w:r>
        <w:rPr>
          <w:lang w:val="de-DE"/>
        </w:rPr>
        <w:t xml:space="preserve"> Es gibt hier viel </w:t>
      </w:r>
      <w:r w:rsidR="00B30C52">
        <w:rPr>
          <w:lang w:val="de-DE"/>
        </w:rPr>
        <w:t xml:space="preserve">an </w:t>
      </w:r>
      <w:r w:rsidRPr="00351038">
        <w:rPr>
          <w:lang w:val="de-DE"/>
        </w:rPr>
        <w:t>Willkür,</w:t>
      </w:r>
      <w:r>
        <w:rPr>
          <w:lang w:val="de-DE"/>
        </w:rPr>
        <w:t xml:space="preserve"> </w:t>
      </w:r>
      <w:r w:rsidR="006D50B2">
        <w:rPr>
          <w:lang w:val="de-DE"/>
        </w:rPr>
        <w:t xml:space="preserve">von einer einfachen Ringsegnung </w:t>
      </w:r>
      <w:r>
        <w:rPr>
          <w:lang w:val="de-DE"/>
        </w:rPr>
        <w:t>bis hin zur regelrechten Abhaltung einer liturgischen Trauung, die in nichts von einer normalen Hochzeit zu unte</w:t>
      </w:r>
      <w:r>
        <w:rPr>
          <w:lang w:val="de-DE"/>
        </w:rPr>
        <w:t>r</w:t>
      </w:r>
      <w:r>
        <w:rPr>
          <w:lang w:val="de-DE"/>
        </w:rPr>
        <w:t>scheiden ist.</w:t>
      </w:r>
      <w:r w:rsidR="00E54ED9">
        <w:rPr>
          <w:lang w:val="de-DE"/>
        </w:rPr>
        <w:t xml:space="preserve"> In diesem Fall würde es sich tatsächlich um die Simulation eines Sakraments handeln, d.h. um die Vortäuschung einer sakramentalen Han</w:t>
      </w:r>
      <w:r w:rsidR="00E54ED9">
        <w:rPr>
          <w:lang w:val="de-DE"/>
        </w:rPr>
        <w:t>d</w:t>
      </w:r>
      <w:r w:rsidR="00E54ED9">
        <w:rPr>
          <w:lang w:val="de-DE"/>
        </w:rPr>
        <w:t>lung.</w:t>
      </w:r>
      <w:r w:rsidR="00E54ED9">
        <w:rPr>
          <w:rStyle w:val="Funotenzeichen"/>
          <w:lang w:val="de-DE"/>
        </w:rPr>
        <w:footnoteReference w:id="40"/>
      </w:r>
    </w:p>
    <w:p w:rsidR="0018610C" w:rsidRDefault="00DC75DC" w:rsidP="00FB5FD6">
      <w:pPr>
        <w:pStyle w:val="Listenabsatz"/>
        <w:numPr>
          <w:ilvl w:val="0"/>
          <w:numId w:val="3"/>
        </w:numPr>
        <w:rPr>
          <w:lang w:val="de-DE"/>
        </w:rPr>
      </w:pPr>
      <w:r w:rsidRPr="00DC75DC">
        <w:rPr>
          <w:highlight w:val="yellow"/>
          <w:lang w:val="de-DE"/>
        </w:rPr>
        <w:t>190</w:t>
      </w:r>
      <w:r>
        <w:rPr>
          <w:lang w:val="de-DE"/>
        </w:rPr>
        <w:t xml:space="preserve"> </w:t>
      </w:r>
      <w:r w:rsidR="0018610C" w:rsidRPr="00351038">
        <w:rPr>
          <w:lang w:val="de-DE"/>
        </w:rPr>
        <w:t>Wie erklärt</w:t>
      </w:r>
      <w:r w:rsidR="0018610C">
        <w:rPr>
          <w:lang w:val="de-DE"/>
        </w:rPr>
        <w:t xml:space="preserve"> man </w:t>
      </w:r>
      <w:r w:rsidR="00612E0C" w:rsidRPr="00351038">
        <w:rPr>
          <w:lang w:val="de-DE"/>
        </w:rPr>
        <w:t>dem</w:t>
      </w:r>
      <w:r w:rsidR="0018610C" w:rsidRPr="00351038">
        <w:rPr>
          <w:lang w:val="de-DE"/>
        </w:rPr>
        <w:t xml:space="preserve"> </w:t>
      </w:r>
      <w:r w:rsidR="00F5686A" w:rsidRPr="00351038">
        <w:rPr>
          <w:lang w:val="de-DE"/>
        </w:rPr>
        <w:t>zu Unrecht</w:t>
      </w:r>
      <w:r w:rsidR="0018610C" w:rsidRPr="00351038">
        <w:rPr>
          <w:lang w:val="de-DE"/>
        </w:rPr>
        <w:t xml:space="preserve"> verlassenen Ehepartner</w:t>
      </w:r>
      <w:r w:rsidR="0018610C">
        <w:rPr>
          <w:lang w:val="de-DE"/>
        </w:rPr>
        <w:t>, der keine neue Verbindung eingegangen ist und sein Treueversprechen</w:t>
      </w:r>
      <w:r w:rsidR="00612E0C">
        <w:rPr>
          <w:lang w:val="de-DE"/>
        </w:rPr>
        <w:t xml:space="preserve"> weiterhin</w:t>
      </w:r>
      <w:r w:rsidR="0018610C">
        <w:rPr>
          <w:lang w:val="de-DE"/>
        </w:rPr>
        <w:t xml:space="preserve"> ernst ne</w:t>
      </w:r>
      <w:r w:rsidR="0018610C">
        <w:rPr>
          <w:lang w:val="de-DE"/>
        </w:rPr>
        <w:t>h</w:t>
      </w:r>
      <w:r w:rsidR="0018610C">
        <w:rPr>
          <w:lang w:val="de-DE"/>
        </w:rPr>
        <w:t xml:space="preserve">men will, die Tatsache, dass </w:t>
      </w:r>
      <w:r w:rsidR="0088399E">
        <w:rPr>
          <w:lang w:val="de-DE"/>
        </w:rPr>
        <w:t>„</w:t>
      </w:r>
      <w:r w:rsidR="0018610C">
        <w:rPr>
          <w:lang w:val="de-DE"/>
        </w:rPr>
        <w:t>die Kirche</w:t>
      </w:r>
      <w:r w:rsidR="0088399E">
        <w:rPr>
          <w:lang w:val="de-DE"/>
        </w:rPr>
        <w:t>“</w:t>
      </w:r>
      <w:r w:rsidR="0018610C">
        <w:rPr>
          <w:lang w:val="de-DE"/>
        </w:rPr>
        <w:t xml:space="preserve"> die </w:t>
      </w:r>
      <w:r w:rsidR="0088399E">
        <w:rPr>
          <w:lang w:val="de-DE"/>
        </w:rPr>
        <w:t>„</w:t>
      </w:r>
      <w:proofErr w:type="spellStart"/>
      <w:r w:rsidR="0018610C">
        <w:rPr>
          <w:lang w:val="de-DE"/>
        </w:rPr>
        <w:t>Zweitehe</w:t>
      </w:r>
      <w:proofErr w:type="spellEnd"/>
      <w:r w:rsidR="0088399E">
        <w:rPr>
          <w:lang w:val="de-DE"/>
        </w:rPr>
        <w:t>“</w:t>
      </w:r>
      <w:r w:rsidR="0018610C">
        <w:rPr>
          <w:lang w:val="de-DE"/>
        </w:rPr>
        <w:t xml:space="preserve"> des anderen Partners (der vielleicht sogar die Ehe zerstört hat), jetzt </w:t>
      </w:r>
      <w:r w:rsidR="0088399E">
        <w:rPr>
          <w:lang w:val="de-DE"/>
        </w:rPr>
        <w:t>„</w:t>
      </w:r>
      <w:r w:rsidR="0018610C">
        <w:rPr>
          <w:lang w:val="de-DE"/>
        </w:rPr>
        <w:t>einsegnen</w:t>
      </w:r>
      <w:r w:rsidR="0088399E">
        <w:rPr>
          <w:lang w:val="de-DE"/>
        </w:rPr>
        <w:t>“</w:t>
      </w:r>
      <w:r w:rsidR="0018610C">
        <w:rPr>
          <w:lang w:val="de-DE"/>
        </w:rPr>
        <w:t xml:space="preserve"> und damit offenbar </w:t>
      </w:r>
      <w:r w:rsidR="0088399E">
        <w:rPr>
          <w:lang w:val="de-DE"/>
        </w:rPr>
        <w:t>„</w:t>
      </w:r>
      <w:r w:rsidR="0018610C">
        <w:rPr>
          <w:lang w:val="de-DE"/>
        </w:rPr>
        <w:t>gutheißen</w:t>
      </w:r>
      <w:r w:rsidR="0088399E">
        <w:rPr>
          <w:lang w:val="de-DE"/>
        </w:rPr>
        <w:t>“</w:t>
      </w:r>
      <w:r w:rsidR="0018610C">
        <w:rPr>
          <w:lang w:val="de-DE"/>
        </w:rPr>
        <w:t xml:space="preserve"> will?</w:t>
      </w:r>
    </w:p>
    <w:p w:rsidR="0018610C" w:rsidRPr="006D50B2" w:rsidRDefault="0018610C" w:rsidP="00FB5FD6">
      <w:pPr>
        <w:pStyle w:val="Listenabsatz"/>
        <w:numPr>
          <w:ilvl w:val="0"/>
          <w:numId w:val="3"/>
        </w:numPr>
        <w:rPr>
          <w:lang w:val="de-DE"/>
        </w:rPr>
      </w:pPr>
      <w:r>
        <w:rPr>
          <w:lang w:val="de-DE"/>
        </w:rPr>
        <w:t>Wie geht es Ehepaaren, die sich mit Gottes Hilfe um die Treue in guten und bösen Tagen bemühen und die auch unter großen Schwierigkeiten zusa</w:t>
      </w:r>
      <w:r>
        <w:rPr>
          <w:lang w:val="de-DE"/>
        </w:rPr>
        <w:t>m</w:t>
      </w:r>
      <w:r>
        <w:rPr>
          <w:lang w:val="de-DE"/>
        </w:rPr>
        <w:t xml:space="preserve">menbleiben, wenn </w:t>
      </w:r>
      <w:r w:rsidRPr="00351038">
        <w:rPr>
          <w:lang w:val="de-DE"/>
        </w:rPr>
        <w:t>Verbindungen eingesegnet</w:t>
      </w:r>
      <w:r>
        <w:rPr>
          <w:lang w:val="de-DE"/>
        </w:rPr>
        <w:t xml:space="preserve"> werden, </w:t>
      </w:r>
      <w:r w:rsidRPr="00351038">
        <w:rPr>
          <w:lang w:val="de-DE"/>
        </w:rPr>
        <w:t xml:space="preserve">die </w:t>
      </w:r>
      <w:r w:rsidRPr="00612E0C">
        <w:rPr>
          <w:lang w:val="de-DE"/>
        </w:rPr>
        <w:t>eben</w:t>
      </w:r>
      <w:r w:rsidRPr="00351038">
        <w:rPr>
          <w:lang w:val="de-DE"/>
        </w:rPr>
        <w:t xml:space="preserve"> dem Sinn des Ehesakraments widersprechen</w:t>
      </w:r>
      <w:r w:rsidR="006D50B2" w:rsidRPr="00351038">
        <w:rPr>
          <w:lang w:val="de-DE"/>
        </w:rPr>
        <w:t xml:space="preserve"> </w:t>
      </w:r>
      <w:r w:rsidR="006D50B2" w:rsidRPr="006D50B2">
        <w:rPr>
          <w:lang w:val="de-DE"/>
        </w:rPr>
        <w:t>und damit auch ihr eigenes Treueversprechen ad absurdum führen</w:t>
      </w:r>
      <w:r w:rsidRPr="006D50B2">
        <w:rPr>
          <w:lang w:val="de-DE"/>
        </w:rPr>
        <w:t>?</w:t>
      </w:r>
    </w:p>
    <w:p w:rsidR="00BF47BD" w:rsidRDefault="00BF47BD" w:rsidP="00FB5FD6">
      <w:pPr>
        <w:pStyle w:val="Listenabsatz"/>
        <w:numPr>
          <w:ilvl w:val="0"/>
          <w:numId w:val="3"/>
        </w:numPr>
        <w:rPr>
          <w:lang w:val="de-DE"/>
        </w:rPr>
      </w:pPr>
      <w:r>
        <w:rPr>
          <w:lang w:val="de-DE"/>
        </w:rPr>
        <w:t xml:space="preserve">Würden solche Segnungen auf Dauer und in großem Ausmaß praktiziert, dann entstünde unweigerlich der </w:t>
      </w:r>
      <w:r w:rsidRPr="00351038">
        <w:rPr>
          <w:lang w:val="de-DE"/>
        </w:rPr>
        <w:t>Eindruck</w:t>
      </w:r>
      <w:r>
        <w:rPr>
          <w:lang w:val="de-DE"/>
        </w:rPr>
        <w:t xml:space="preserve">: Das </w:t>
      </w:r>
      <w:r w:rsidRPr="00351038">
        <w:rPr>
          <w:lang w:val="de-DE"/>
        </w:rPr>
        <w:t>Eheversprechen</w:t>
      </w:r>
      <w:r>
        <w:rPr>
          <w:lang w:val="de-DE"/>
        </w:rPr>
        <w:t xml:space="preserve"> ist </w:t>
      </w:r>
      <w:r w:rsidRPr="00351038">
        <w:rPr>
          <w:lang w:val="de-DE"/>
        </w:rPr>
        <w:t>nicht mehr ernst gemeint.</w:t>
      </w:r>
      <w:r>
        <w:rPr>
          <w:lang w:val="de-DE"/>
        </w:rPr>
        <w:t xml:space="preserve"> Der Lehre der Kirche zur </w:t>
      </w:r>
      <w:r w:rsidRPr="00351038">
        <w:rPr>
          <w:lang w:val="de-DE"/>
        </w:rPr>
        <w:t>Unauflöslichkeit</w:t>
      </w:r>
      <w:r>
        <w:rPr>
          <w:lang w:val="de-DE"/>
        </w:rPr>
        <w:t xml:space="preserve"> der Ehe hätte (vie</w:t>
      </w:r>
      <w:r>
        <w:rPr>
          <w:lang w:val="de-DE"/>
        </w:rPr>
        <w:t>l</w:t>
      </w:r>
      <w:r>
        <w:rPr>
          <w:lang w:val="de-DE"/>
        </w:rPr>
        <w:t>leicht) zwar noch theoretische Geltu</w:t>
      </w:r>
      <w:r w:rsidR="00786CCD">
        <w:rPr>
          <w:lang w:val="de-DE"/>
        </w:rPr>
        <w:t>ng, aber keine praktische mehr.</w:t>
      </w:r>
    </w:p>
    <w:p w:rsidR="00F5686A" w:rsidRDefault="00F5686A" w:rsidP="00FB5FD6">
      <w:pPr>
        <w:rPr>
          <w:lang w:val="de-DE"/>
        </w:rPr>
      </w:pPr>
      <w:r>
        <w:rPr>
          <w:lang w:val="de-DE"/>
        </w:rPr>
        <w:t xml:space="preserve">Gewiss </w:t>
      </w:r>
      <w:r w:rsidR="00786CCD">
        <w:rPr>
          <w:lang w:val="de-DE"/>
        </w:rPr>
        <w:t>bestehen</w:t>
      </w:r>
      <w:r>
        <w:rPr>
          <w:lang w:val="de-DE"/>
        </w:rPr>
        <w:t xml:space="preserve"> hier</w:t>
      </w:r>
      <w:r w:rsidR="00612E0C">
        <w:rPr>
          <w:lang w:val="de-DE"/>
        </w:rPr>
        <w:t xml:space="preserve"> </w:t>
      </w:r>
      <w:r>
        <w:rPr>
          <w:lang w:val="de-DE"/>
        </w:rPr>
        <w:t>mitunter sehr</w:t>
      </w:r>
      <w:r w:rsidR="00612E0C">
        <w:rPr>
          <w:lang w:val="de-DE"/>
        </w:rPr>
        <w:t xml:space="preserve"> leidvolle Problemen, die nicht vollständig </w:t>
      </w:r>
      <w:r w:rsidR="00786CCD">
        <w:rPr>
          <w:lang w:val="de-DE"/>
        </w:rPr>
        <w:t>gelöst</w:t>
      </w:r>
      <w:r w:rsidR="007B2055">
        <w:rPr>
          <w:lang w:val="de-DE"/>
        </w:rPr>
        <w:t xml:space="preserve"> und </w:t>
      </w:r>
      <w:r w:rsidR="00786CCD">
        <w:rPr>
          <w:lang w:val="de-DE"/>
        </w:rPr>
        <w:t>behoben werden</w:t>
      </w:r>
      <w:r w:rsidR="00612E0C">
        <w:rPr>
          <w:lang w:val="de-DE"/>
        </w:rPr>
        <w:t xml:space="preserve"> können.</w:t>
      </w:r>
      <w:r w:rsidR="007B2055">
        <w:rPr>
          <w:lang w:val="de-DE"/>
        </w:rPr>
        <w:t xml:space="preserve"> Der </w:t>
      </w:r>
      <w:r w:rsidR="007B2055" w:rsidRPr="00351038">
        <w:rPr>
          <w:lang w:val="de-DE"/>
        </w:rPr>
        <w:t>christliche Glaube</w:t>
      </w:r>
      <w:r w:rsidR="007B2055">
        <w:rPr>
          <w:lang w:val="de-DE"/>
        </w:rPr>
        <w:t xml:space="preserve"> schenkt </w:t>
      </w:r>
      <w:r w:rsidR="00786CCD">
        <w:rPr>
          <w:lang w:val="de-DE"/>
        </w:rPr>
        <w:t>den</w:t>
      </w:r>
      <w:r w:rsidR="007B2055">
        <w:rPr>
          <w:lang w:val="de-DE"/>
        </w:rPr>
        <w:t xml:space="preserve"> Betroffenen </w:t>
      </w:r>
      <w:r w:rsidR="007B2055" w:rsidRPr="00351038">
        <w:rPr>
          <w:lang w:val="de-DE"/>
        </w:rPr>
        <w:t>Trost</w:t>
      </w:r>
      <w:r w:rsidR="00970742">
        <w:rPr>
          <w:lang w:val="de-DE"/>
        </w:rPr>
        <w:t xml:space="preserve"> und </w:t>
      </w:r>
      <w:r w:rsidR="00970742" w:rsidRPr="00351038">
        <w:rPr>
          <w:lang w:val="de-DE"/>
        </w:rPr>
        <w:t>Hoffnung</w:t>
      </w:r>
      <w:r w:rsidR="00D86BDC" w:rsidRPr="00351038">
        <w:rPr>
          <w:lang w:val="de-DE"/>
        </w:rPr>
        <w:t xml:space="preserve">. </w:t>
      </w:r>
      <w:r w:rsidR="007B2055" w:rsidRPr="00351038">
        <w:rPr>
          <w:lang w:val="de-DE"/>
        </w:rPr>
        <w:t>Gott</w:t>
      </w:r>
      <w:r w:rsidR="007B2055">
        <w:rPr>
          <w:lang w:val="de-DE"/>
        </w:rPr>
        <w:t xml:space="preserve"> </w:t>
      </w:r>
      <w:r w:rsidR="00D86BDC">
        <w:rPr>
          <w:lang w:val="de-DE"/>
        </w:rPr>
        <w:t xml:space="preserve">hilft </w:t>
      </w:r>
      <w:r w:rsidR="007B2055">
        <w:rPr>
          <w:lang w:val="de-DE"/>
        </w:rPr>
        <w:t xml:space="preserve">allen Menschen guten Willens dabei, </w:t>
      </w:r>
      <w:r w:rsidR="00970742">
        <w:rPr>
          <w:lang w:val="de-DE"/>
        </w:rPr>
        <w:t xml:space="preserve">dass </w:t>
      </w:r>
      <w:r w:rsidR="007B2055" w:rsidRPr="00351038">
        <w:rPr>
          <w:lang w:val="de-DE"/>
        </w:rPr>
        <w:t>Wunden heilen</w:t>
      </w:r>
      <w:r w:rsidR="007B2055">
        <w:rPr>
          <w:lang w:val="de-DE"/>
        </w:rPr>
        <w:t xml:space="preserve"> </w:t>
      </w:r>
      <w:r w:rsidR="00970742">
        <w:rPr>
          <w:lang w:val="de-DE"/>
        </w:rPr>
        <w:t>und ihnen</w:t>
      </w:r>
      <w:r w:rsidR="007B2055">
        <w:rPr>
          <w:lang w:val="de-DE"/>
        </w:rPr>
        <w:t xml:space="preserve"> </w:t>
      </w:r>
      <w:r w:rsidR="007B2055" w:rsidRPr="00351038">
        <w:rPr>
          <w:lang w:val="de-DE"/>
        </w:rPr>
        <w:t>Leben in Fülle</w:t>
      </w:r>
      <w:r w:rsidR="007B2055">
        <w:rPr>
          <w:lang w:val="de-DE"/>
        </w:rPr>
        <w:t xml:space="preserve"> </w:t>
      </w:r>
      <w:r w:rsidR="00970742">
        <w:rPr>
          <w:lang w:val="de-DE"/>
        </w:rPr>
        <w:t>zuteil wird</w:t>
      </w:r>
      <w:r w:rsidR="00B11D4F">
        <w:rPr>
          <w:lang w:val="de-DE"/>
        </w:rPr>
        <w:t xml:space="preserve">. Pastorale Liebe und Offenheit für die Wahrheit Gottes müssen sich stets verbinden. Nur dann </w:t>
      </w:r>
      <w:r w:rsidR="00786CCD">
        <w:rPr>
          <w:lang w:val="de-DE"/>
        </w:rPr>
        <w:t>hilft</w:t>
      </w:r>
      <w:r w:rsidR="00B11D4F">
        <w:rPr>
          <w:lang w:val="de-DE"/>
        </w:rPr>
        <w:t xml:space="preserve"> </w:t>
      </w:r>
      <w:r w:rsidR="00786CCD">
        <w:rPr>
          <w:lang w:val="de-DE"/>
        </w:rPr>
        <w:t>man</w:t>
      </w:r>
      <w:r w:rsidR="00B11D4F">
        <w:rPr>
          <w:lang w:val="de-DE"/>
        </w:rPr>
        <w:t xml:space="preserve"> den Menschen auch wirklich</w:t>
      </w:r>
      <w:r w:rsidR="00DB4D2D">
        <w:rPr>
          <w:lang w:val="de-DE"/>
        </w:rPr>
        <w:t xml:space="preserve"> und dien</w:t>
      </w:r>
      <w:r w:rsidR="00786CCD">
        <w:rPr>
          <w:lang w:val="de-DE"/>
        </w:rPr>
        <w:t>t</w:t>
      </w:r>
      <w:r w:rsidR="00DB4D2D">
        <w:rPr>
          <w:lang w:val="de-DE"/>
        </w:rPr>
        <w:t xml:space="preserve"> ihrem Wohl und Heil</w:t>
      </w:r>
      <w:r w:rsidR="00786CCD">
        <w:rPr>
          <w:lang w:val="de-DE"/>
        </w:rPr>
        <w:t>.</w:t>
      </w:r>
    </w:p>
    <w:p w:rsidR="00612E0C" w:rsidRPr="0018610C" w:rsidRDefault="00E54ED9" w:rsidP="00FB5FD6">
      <w:pPr>
        <w:rPr>
          <w:lang w:val="de-DE"/>
        </w:rPr>
      </w:pPr>
      <w:r>
        <w:rPr>
          <w:lang w:val="de-DE"/>
        </w:rPr>
        <w:t xml:space="preserve">Als der englische König Heinrich VIII. von Papst Clemens VII. die Lösung seiner rechtmäßigen Ehe mit Katharina von </w:t>
      </w:r>
      <w:proofErr w:type="spellStart"/>
      <w:r>
        <w:rPr>
          <w:lang w:val="de-DE"/>
        </w:rPr>
        <w:t>Aragón</w:t>
      </w:r>
      <w:proofErr w:type="spellEnd"/>
      <w:r>
        <w:rPr>
          <w:lang w:val="de-DE"/>
        </w:rPr>
        <w:t xml:space="preserve"> verlangte, konnte dieser nicht nachg</w:t>
      </w:r>
      <w:r>
        <w:rPr>
          <w:lang w:val="de-DE"/>
        </w:rPr>
        <w:t>e</w:t>
      </w:r>
      <w:r>
        <w:rPr>
          <w:lang w:val="de-DE"/>
        </w:rPr>
        <w:t xml:space="preserve">ben, auch wenn er wusste, dass damit die Kircheneinheit auf dem Spiel stand. </w:t>
      </w:r>
      <w:r w:rsidR="00786CCD">
        <w:rPr>
          <w:lang w:val="de-DE"/>
        </w:rPr>
        <w:t>Der</w:t>
      </w:r>
      <w:r w:rsidR="00F5686A">
        <w:rPr>
          <w:lang w:val="de-DE"/>
        </w:rPr>
        <w:t xml:space="preserve"> Lordkanzler und Familienvater</w:t>
      </w:r>
      <w:r>
        <w:rPr>
          <w:lang w:val="de-DE"/>
        </w:rPr>
        <w:t xml:space="preserve"> </w:t>
      </w:r>
      <w:r w:rsidRPr="00351038">
        <w:rPr>
          <w:lang w:val="de-DE"/>
        </w:rPr>
        <w:t xml:space="preserve">Thomas </w:t>
      </w:r>
      <w:proofErr w:type="spellStart"/>
      <w:r w:rsidRPr="00351038">
        <w:rPr>
          <w:lang w:val="de-DE"/>
        </w:rPr>
        <w:t>Morus</w:t>
      </w:r>
      <w:proofErr w:type="spellEnd"/>
      <w:r>
        <w:rPr>
          <w:lang w:val="de-DE"/>
        </w:rPr>
        <w:t xml:space="preserve"> </w:t>
      </w:r>
      <w:r w:rsidR="00F5686A">
        <w:rPr>
          <w:lang w:val="de-DE"/>
        </w:rPr>
        <w:t>sowie der Bischof von Rochester,</w:t>
      </w:r>
      <w:r>
        <w:rPr>
          <w:lang w:val="de-DE"/>
        </w:rPr>
        <w:t xml:space="preserve"> </w:t>
      </w:r>
      <w:r w:rsidRPr="00351038">
        <w:rPr>
          <w:lang w:val="de-DE"/>
        </w:rPr>
        <w:t>John Fisher</w:t>
      </w:r>
      <w:r>
        <w:rPr>
          <w:lang w:val="de-DE"/>
        </w:rPr>
        <w:t xml:space="preserve">, </w:t>
      </w:r>
      <w:r w:rsidR="00F5686A">
        <w:rPr>
          <w:lang w:val="de-DE"/>
        </w:rPr>
        <w:t>welche die eidlich bekundete Anerkennung der</w:t>
      </w:r>
      <w:r>
        <w:rPr>
          <w:lang w:val="de-DE"/>
        </w:rPr>
        <w:t xml:space="preserve"> Oberhoheit des engl</w:t>
      </w:r>
      <w:r>
        <w:rPr>
          <w:lang w:val="de-DE"/>
        </w:rPr>
        <w:t>i</w:t>
      </w:r>
      <w:r>
        <w:rPr>
          <w:lang w:val="de-DE"/>
        </w:rPr>
        <w:t xml:space="preserve">schen Königs über die Kirche verweigerten und daher im Jahr 1535 das Martyrium erlitten, </w:t>
      </w:r>
      <w:r w:rsidR="00786CCD">
        <w:rPr>
          <w:lang w:val="de-DE"/>
        </w:rPr>
        <w:t xml:space="preserve">können als besondere </w:t>
      </w:r>
      <w:r>
        <w:rPr>
          <w:lang w:val="de-DE"/>
        </w:rPr>
        <w:t xml:space="preserve">Fürsprecher </w:t>
      </w:r>
      <w:r w:rsidR="00890D60">
        <w:rPr>
          <w:lang w:val="de-DE"/>
        </w:rPr>
        <w:t>bei Gott angerufen werden!</w:t>
      </w:r>
    </w:p>
    <w:sectPr w:rsidR="00612E0C" w:rsidRPr="0018610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AA" w:rsidRDefault="00074AAA" w:rsidP="00FB5FD6">
      <w:r>
        <w:separator/>
      </w:r>
    </w:p>
  </w:endnote>
  <w:endnote w:type="continuationSeparator" w:id="0">
    <w:p w:rsidR="00074AAA" w:rsidRDefault="00074AAA" w:rsidP="00FB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eastAsiaTheme="majorEastAsia"/>
        </w:rPr>
        <w:id w:val="1363932344"/>
        <w:docPartObj>
          <w:docPartGallery w:val="Page Numbers (Bottom of Page)"/>
          <w:docPartUnique/>
        </w:docPartObj>
      </w:sdtPr>
      <w:sdtEndPr>
        <w:rPr>
          <w:rFonts w:eastAsia="Times New Roman"/>
        </w:rPr>
      </w:sdtEndPr>
      <w:sdtContent>
        <w:tr w:rsidR="002D0AA0">
          <w:trPr>
            <w:trHeight w:val="727"/>
          </w:trPr>
          <w:tc>
            <w:tcPr>
              <w:tcW w:w="4000" w:type="pct"/>
              <w:tcBorders>
                <w:right w:val="triple" w:sz="4" w:space="0" w:color="4F81BD" w:themeColor="accent1"/>
              </w:tcBorders>
            </w:tcPr>
            <w:p w:rsidR="002D0AA0" w:rsidRDefault="002D0AA0" w:rsidP="00FB5FD6">
              <w:pPr>
                <w:rPr>
                  <w:rFonts w:eastAsiaTheme="majorEastAsia"/>
                </w:rPr>
              </w:pPr>
            </w:p>
          </w:tc>
          <w:tc>
            <w:tcPr>
              <w:tcW w:w="1000" w:type="pct"/>
              <w:tcBorders>
                <w:left w:val="triple" w:sz="4" w:space="0" w:color="4F81BD" w:themeColor="accent1"/>
              </w:tcBorders>
            </w:tcPr>
            <w:p w:rsidR="002D0AA0" w:rsidRDefault="002D0AA0" w:rsidP="00FB5FD6">
              <w:pPr>
                <w:rPr>
                  <w:rFonts w:asciiTheme="majorHAnsi" w:eastAsiaTheme="majorEastAsia" w:hAnsiTheme="majorHAnsi" w:cstheme="majorBidi"/>
                  <w:sz w:val="28"/>
                  <w:szCs w:val="28"/>
                </w:rPr>
              </w:pPr>
              <w:r>
                <w:fldChar w:fldCharType="begin"/>
              </w:r>
              <w:r>
                <w:instrText>PAGE    \* MERGEFORMAT</w:instrText>
              </w:r>
              <w:r>
                <w:fldChar w:fldCharType="separate"/>
              </w:r>
              <w:r w:rsidR="008B17BA" w:rsidRPr="008B17BA">
                <w:rPr>
                  <w:noProof/>
                  <w:lang w:val="de-DE"/>
                </w:rPr>
                <w:t>11</w:t>
              </w:r>
              <w:r>
                <w:fldChar w:fldCharType="end"/>
              </w:r>
            </w:p>
          </w:tc>
        </w:tr>
      </w:sdtContent>
    </w:sdt>
  </w:tbl>
  <w:p w:rsidR="002D0AA0" w:rsidRDefault="002D0AA0" w:rsidP="00FB5F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AA" w:rsidRDefault="00074AAA" w:rsidP="00FB5FD6">
      <w:r>
        <w:separator/>
      </w:r>
    </w:p>
  </w:footnote>
  <w:footnote w:type="continuationSeparator" w:id="0">
    <w:p w:rsidR="00074AAA" w:rsidRDefault="00074AAA" w:rsidP="00FB5FD6">
      <w:r>
        <w:continuationSeparator/>
      </w:r>
    </w:p>
  </w:footnote>
  <w:footnote w:id="1">
    <w:p w:rsidR="00D2503B" w:rsidRDefault="00D2503B" w:rsidP="00FB5FD6">
      <w:pPr>
        <w:pStyle w:val="Funotentext"/>
      </w:pPr>
      <w:r>
        <w:rPr>
          <w:rStyle w:val="Funotenzeichen"/>
        </w:rPr>
        <w:footnoteRef/>
      </w:r>
      <w:r>
        <w:t xml:space="preserve"> </w:t>
      </w:r>
      <w:r w:rsidR="0088399E">
        <w:t>„</w:t>
      </w:r>
      <w:r w:rsidRPr="00D2503B">
        <w:rPr>
          <w:rFonts w:eastAsiaTheme="minorHAnsi"/>
          <w:lang w:eastAsia="en-US" w:bidi="he-IL"/>
        </w:rPr>
        <w:t>Gott schuf also den Menschen als sein Abbild; als Abbild Gottes schuf er ihn. Als Mann und Frau schuf er sie.”</w:t>
      </w:r>
      <w:r w:rsidR="00A947C6">
        <w:rPr>
          <w:rFonts w:eastAsiaTheme="minorHAnsi"/>
          <w:lang w:eastAsia="en-US" w:bidi="he-IL"/>
        </w:rPr>
        <w:t xml:space="preserve"> </w:t>
      </w:r>
      <w:r w:rsidRPr="00D2503B">
        <w:rPr>
          <w:rFonts w:eastAsiaTheme="minorHAnsi"/>
          <w:lang w:eastAsia="en-US" w:bidi="he-IL"/>
        </w:rPr>
        <w:t>(Gen 1,27)</w:t>
      </w:r>
    </w:p>
  </w:footnote>
  <w:footnote w:id="2">
    <w:p w:rsidR="00030F7D" w:rsidRDefault="00030F7D" w:rsidP="00FB5FD6">
      <w:pPr>
        <w:pStyle w:val="Funotentext"/>
      </w:pPr>
      <w:r>
        <w:rPr>
          <w:rStyle w:val="Funotenzeichen"/>
        </w:rPr>
        <w:footnoteRef/>
      </w:r>
      <w:r>
        <w:t xml:space="preserve"> Demgegenüber lehnen best</w:t>
      </w:r>
      <w:r w:rsidR="00351038">
        <w:t xml:space="preserve">immte Formen der Gender-Theorie </w:t>
      </w:r>
      <w:r>
        <w:t>eben diese ganzheitlich-positive Pr</w:t>
      </w:r>
      <w:r>
        <w:t>ä</w:t>
      </w:r>
      <w:r>
        <w:t xml:space="preserve">gung des Menschen als Mann bzw. Frau ab: vgl. Hanna-Barbara </w:t>
      </w:r>
      <w:proofErr w:type="spellStart"/>
      <w:r>
        <w:t>Gerl-Falkovitz</w:t>
      </w:r>
      <w:proofErr w:type="spellEnd"/>
      <w:r>
        <w:t xml:space="preserve">, Frau – </w:t>
      </w:r>
      <w:proofErr w:type="spellStart"/>
      <w:r>
        <w:t>Männin</w:t>
      </w:r>
      <w:proofErr w:type="spellEnd"/>
      <w:r>
        <w:t xml:space="preserve"> – </w:t>
      </w:r>
      <w:proofErr w:type="spellStart"/>
      <w:r>
        <w:t>Menschin</w:t>
      </w:r>
      <w:proofErr w:type="spellEnd"/>
      <w:r>
        <w:t>. Zwischen Feminismus und Gender, Kevelaer 2009.</w:t>
      </w:r>
    </w:p>
  </w:footnote>
  <w:footnote w:id="3">
    <w:p w:rsidR="00DD4F58" w:rsidRDefault="00DD4F58" w:rsidP="00FB5FD6">
      <w:pPr>
        <w:pStyle w:val="Funotentext"/>
      </w:pPr>
      <w:r>
        <w:rPr>
          <w:rStyle w:val="Funotenzeichen"/>
        </w:rPr>
        <w:footnoteRef/>
      </w:r>
      <w:r>
        <w:t xml:space="preserve"> </w:t>
      </w:r>
      <w:r w:rsidR="00351038">
        <w:t xml:space="preserve">Theologisch sprechen wir von der „Konkupiszenz“, d.h. dem ungeordneten Begehren: </w:t>
      </w:r>
      <w:r w:rsidRPr="00DD4F58">
        <w:t>„Infolge der Erbsünde ist die menschliche Natur zwar nicht durch und durch verdorben, aber in ihren natürlichen Kräften verletzt, der Unwissenheit, dem Leiden und der Herrschaft des Todes unterworfen und zur Sünde geneigt. Diese Neigung heißt Konkupiszenz“</w:t>
      </w:r>
      <w:r>
        <w:t xml:space="preserve"> (Katechismus der Katholischen Kirche. Kompe</w:t>
      </w:r>
      <w:r>
        <w:t>n</w:t>
      </w:r>
      <w:r>
        <w:t xml:space="preserve">dium, München-Vatikan 2005, Nr. 77). Vgl. Josef Spindelböck, </w:t>
      </w:r>
      <w:r w:rsidRPr="00DD4F58">
        <w:t xml:space="preserve">Das sittliche Leben des Christen im Spannungsfeld von Konkupiszenz und Gnade, in: Josef </w:t>
      </w:r>
      <w:proofErr w:type="spellStart"/>
      <w:r w:rsidRPr="00DD4F58">
        <w:t>Kreiml</w:t>
      </w:r>
      <w:proofErr w:type="spellEnd"/>
      <w:r w:rsidRPr="00DD4F58">
        <w:t xml:space="preserve"> / Michael Stickelbroeck / </w:t>
      </w:r>
      <w:proofErr w:type="spellStart"/>
      <w:r w:rsidRPr="00DD4F58">
        <w:t>Ildefons</w:t>
      </w:r>
      <w:proofErr w:type="spellEnd"/>
      <w:r w:rsidRPr="00DD4F58">
        <w:t xml:space="preserve"> Man</w:t>
      </w:r>
      <w:r w:rsidRPr="00DD4F58">
        <w:t>f</w:t>
      </w:r>
      <w:r w:rsidRPr="00DD4F58">
        <w:t xml:space="preserve">red </w:t>
      </w:r>
      <w:proofErr w:type="spellStart"/>
      <w:r w:rsidRPr="00DD4F58">
        <w:t>Fux</w:t>
      </w:r>
      <w:proofErr w:type="spellEnd"/>
      <w:r w:rsidRPr="00DD4F58">
        <w:t xml:space="preserve"> / Josef Spindelböck (</w:t>
      </w:r>
      <w:proofErr w:type="spellStart"/>
      <w:r w:rsidRPr="00DD4F58">
        <w:t>Hg</w:t>
      </w:r>
      <w:proofErr w:type="spellEnd"/>
      <w:r w:rsidRPr="00DD4F58">
        <w:t xml:space="preserve">.), Der Wahrheit verpflichtet. Festschrift für </w:t>
      </w:r>
      <w:proofErr w:type="spellStart"/>
      <w:r w:rsidRPr="00DD4F58">
        <w:t>em</w:t>
      </w:r>
      <w:proofErr w:type="spellEnd"/>
      <w:r w:rsidRPr="00DD4F58">
        <w:t>. Diözesanbischof Prof. Dr. Kurt Krenn zum 70. Geburtstag, Graz 2006, 317-326</w:t>
      </w:r>
      <w:r>
        <w:t>.</w:t>
      </w:r>
    </w:p>
  </w:footnote>
  <w:footnote w:id="4">
    <w:p w:rsidR="00FE4216" w:rsidRPr="00B149B2" w:rsidRDefault="00FE4216" w:rsidP="00FB5FD6">
      <w:pPr>
        <w:pStyle w:val="Funotentext"/>
        <w:rPr>
          <w:rFonts w:eastAsiaTheme="minorHAnsi"/>
          <w:lang w:eastAsia="en-US" w:bidi="he-IL"/>
        </w:rPr>
      </w:pPr>
      <w:r>
        <w:rPr>
          <w:rStyle w:val="Funotenzeichen"/>
        </w:rPr>
        <w:footnoteRef/>
      </w:r>
      <w:r>
        <w:t xml:space="preserve"> </w:t>
      </w:r>
      <w:r w:rsidR="0088399E">
        <w:t>„</w:t>
      </w:r>
      <w:r>
        <w:rPr>
          <w:rFonts w:eastAsiaTheme="minorHAnsi"/>
          <w:lang w:eastAsia="en-US" w:bidi="he-IL"/>
        </w:rPr>
        <w:t>Oder wisst ihr nicht, dass</w:t>
      </w:r>
      <w:r w:rsidRPr="00FE4216">
        <w:rPr>
          <w:rFonts w:eastAsiaTheme="minorHAnsi"/>
          <w:lang w:eastAsia="en-US" w:bidi="he-IL"/>
        </w:rPr>
        <w:t xml:space="preserve"> </w:t>
      </w:r>
      <w:r w:rsidRPr="002F1711">
        <w:rPr>
          <w:rFonts w:eastAsiaTheme="minorHAnsi"/>
          <w:lang w:eastAsia="en-US" w:bidi="he-IL"/>
        </w:rPr>
        <w:t>euer Leib ein Tempel des Heiligen Geistes ist, der in euch wohnt und den ihr von Gott habt? Ihr gehört nicht euch selbst; denn um einen teuren Preis seid ihr erkauft worden. Verherrlicht also Gott in eurem Leib!” (1 Kor 6,19-20)</w:t>
      </w:r>
    </w:p>
  </w:footnote>
  <w:footnote w:id="5">
    <w:p w:rsidR="00385ED8" w:rsidRPr="00FB4B88" w:rsidRDefault="00385ED8" w:rsidP="008B17BA">
      <w:pPr>
        <w:pStyle w:val="Funotentext"/>
        <w:jc w:val="left"/>
      </w:pPr>
      <w:r>
        <w:rPr>
          <w:rStyle w:val="Funotenzeichen"/>
        </w:rPr>
        <w:footnoteRef/>
      </w:r>
      <w:r>
        <w:t xml:space="preserve"> </w:t>
      </w:r>
      <w:r w:rsidR="0088399E">
        <w:t>„</w:t>
      </w:r>
      <w:r w:rsidR="0051351F" w:rsidRPr="00247D2C">
        <w:t xml:space="preserve">Gott hat den Menschen nach seinem Bild und Gleichnis erschaffen: den er </w:t>
      </w:r>
      <w:r w:rsidR="0051351F" w:rsidRPr="004A51E7">
        <w:rPr>
          <w:i/>
        </w:rPr>
        <w:t xml:space="preserve">aus Liebe </w:t>
      </w:r>
      <w:r w:rsidR="0051351F" w:rsidRPr="006E0BEC">
        <w:t>ins Dasein gerufen hat,</w:t>
      </w:r>
      <w:r w:rsidR="0051351F" w:rsidRPr="00247D2C">
        <w:t xml:space="preserve"> berief er gleichzeitig </w:t>
      </w:r>
      <w:r w:rsidR="0051351F" w:rsidRPr="004A51E7">
        <w:rPr>
          <w:i/>
        </w:rPr>
        <w:t>zur Liebe.</w:t>
      </w:r>
      <w:r w:rsidR="0051351F" w:rsidRPr="00247D2C">
        <w:t xml:space="preserve"> ‚Gott ist Liebe‘ und lebt in sich selbst ein Geheimnis pe</w:t>
      </w:r>
      <w:r w:rsidR="0051351F" w:rsidRPr="00247D2C">
        <w:t>r</w:t>
      </w:r>
      <w:r w:rsidR="0051351F" w:rsidRPr="00247D2C">
        <w:t>sonaler Liebesgemeinschaft. Indem er den Menschen nach seinem Bild erschafft und ständig im D</w:t>
      </w:r>
      <w:r w:rsidR="0051351F" w:rsidRPr="00247D2C">
        <w:t>a</w:t>
      </w:r>
      <w:r w:rsidR="0051351F" w:rsidRPr="00247D2C">
        <w:t xml:space="preserve">sein erhält, prägt Gott der Menschennatur des Mannes und der Frau die Berufung und daher auch die Fähigkeit und die Verantwortung zu Liebe und Gemeinschaft ein. </w:t>
      </w:r>
      <w:r w:rsidR="0051351F" w:rsidRPr="006E0BEC">
        <w:t>Die Liebe ist demnach die grundl</w:t>
      </w:r>
      <w:r w:rsidR="0051351F" w:rsidRPr="006E0BEC">
        <w:t>e</w:t>
      </w:r>
      <w:r w:rsidR="0051351F" w:rsidRPr="006E0BEC">
        <w:t>gende und naturgemäße Berufung jedes Menschen.</w:t>
      </w:r>
      <w:r w:rsidR="0088399E" w:rsidRPr="006E0BEC">
        <w:t>“</w:t>
      </w:r>
      <w:r w:rsidR="0051351F" w:rsidRPr="006E0BEC">
        <w:t xml:space="preserve"> – </w:t>
      </w:r>
      <w:r w:rsidR="0051351F">
        <w:t xml:space="preserve">Johannes Paul II., </w:t>
      </w:r>
      <w:r w:rsidR="004A51E7" w:rsidRPr="004A51E7">
        <w:t>Nachsynodales Apostol</w:t>
      </w:r>
      <w:r w:rsidR="004A51E7" w:rsidRPr="004A51E7">
        <w:t>i</w:t>
      </w:r>
      <w:r w:rsidR="004A51E7" w:rsidRPr="004A51E7">
        <w:t xml:space="preserve">sches Schreiben </w:t>
      </w:r>
      <w:r w:rsidR="0088399E">
        <w:t>„</w:t>
      </w:r>
      <w:proofErr w:type="spellStart"/>
      <w:r w:rsidR="004A51E7" w:rsidRPr="004A51E7">
        <w:t>Familiaris</w:t>
      </w:r>
      <w:proofErr w:type="spellEnd"/>
      <w:r w:rsidR="004A51E7" w:rsidRPr="004A51E7">
        <w:t xml:space="preserve"> </w:t>
      </w:r>
      <w:proofErr w:type="spellStart"/>
      <w:r w:rsidR="004A51E7" w:rsidRPr="004A51E7">
        <w:t>consortio</w:t>
      </w:r>
      <w:proofErr w:type="spellEnd"/>
      <w:r w:rsidR="0088399E">
        <w:t>“</w:t>
      </w:r>
      <w:r w:rsidR="00811A95">
        <w:t xml:space="preserve"> (= FC)</w:t>
      </w:r>
      <w:r w:rsidR="004A51E7" w:rsidRPr="004A51E7">
        <w:t xml:space="preserve"> über die Rolle der christlichen Familie in der modernen Welt (</w:t>
      </w:r>
      <w:r w:rsidR="00811A95">
        <w:rPr>
          <w:rFonts w:cs="Arial"/>
        </w:rPr>
        <w:t>Verlautbarungen des Apostolischen Stuhls 33</w:t>
      </w:r>
      <w:r w:rsidR="004A51E7" w:rsidRPr="004A51E7">
        <w:t xml:space="preserve">), 22. </w:t>
      </w:r>
      <w:r w:rsidR="004A51E7" w:rsidRPr="00FB4B88">
        <w:t>November 1981,</w:t>
      </w:r>
      <w:r w:rsidR="002F1711">
        <w:t xml:space="preserve"> Nr. 11,</w:t>
      </w:r>
      <w:r w:rsidR="004A51E7" w:rsidRPr="00FB4B88">
        <w:t xml:space="preserve"> </w:t>
      </w:r>
      <w:hyperlink r:id="rId1" w:history="1">
        <w:r w:rsidR="004A51E7" w:rsidRPr="00FB4B88">
          <w:rPr>
            <w:rStyle w:val="Hyperlink"/>
            <w:color w:val="auto"/>
            <w:u w:val="none"/>
          </w:rPr>
          <w:t>http://www.stjosef.at/dokumente/familiaris_consortio.htm</w:t>
        </w:r>
      </w:hyperlink>
      <w:r w:rsidR="002F1711">
        <w:t xml:space="preserve"> .</w:t>
      </w:r>
    </w:p>
  </w:footnote>
  <w:footnote w:id="6">
    <w:p w:rsidR="004F75B9" w:rsidRDefault="004F75B9" w:rsidP="008B17BA">
      <w:pPr>
        <w:pStyle w:val="Funotentext"/>
        <w:jc w:val="left"/>
      </w:pPr>
      <w:r>
        <w:rPr>
          <w:rStyle w:val="Funotenzeichen"/>
        </w:rPr>
        <w:footnoteRef/>
      </w:r>
      <w:r>
        <w:t xml:space="preserve"> Vgl. die programmatische Enzyklika dieses Namens von Benedikt XVI. </w:t>
      </w:r>
      <w:r w:rsidR="00811A95">
        <w:t xml:space="preserve">über die christliche Liebe </w:t>
      </w:r>
      <w:r>
        <w:t>vom 25. Dezember 2005</w:t>
      </w:r>
      <w:r w:rsidR="00811A95">
        <w:t xml:space="preserve"> (</w:t>
      </w:r>
      <w:r w:rsidR="00811A95" w:rsidRPr="00811A95">
        <w:t>Verlautbarungen des Apostolischen Stuhls 171</w:t>
      </w:r>
      <w:r w:rsidR="00811A95">
        <w:t xml:space="preserve">), </w:t>
      </w:r>
      <w:hyperlink r:id="rId2" w:history="1">
        <w:r w:rsidRPr="004F75B9">
          <w:rPr>
            <w:rStyle w:val="Hyperlink"/>
            <w:color w:val="auto"/>
            <w:u w:val="none"/>
          </w:rPr>
          <w:t>http://www.vatican.va/holy_father/benedict_xvi/encyclicals/documents/hf_ben-xvi_enc_20051225_deus-caritas-est_ge.html</w:t>
        </w:r>
      </w:hyperlink>
      <w:r w:rsidRPr="004F75B9">
        <w:t xml:space="preserve"> </w:t>
      </w:r>
      <w:r>
        <w:t>.</w:t>
      </w:r>
    </w:p>
  </w:footnote>
  <w:footnote w:id="7">
    <w:p w:rsidR="004A51E7" w:rsidRPr="004A51E7" w:rsidRDefault="004A51E7" w:rsidP="00FB5FD6">
      <w:pPr>
        <w:pStyle w:val="Funotentext"/>
      </w:pPr>
      <w:r>
        <w:rPr>
          <w:rStyle w:val="Funotenzeichen"/>
        </w:rPr>
        <w:footnoteRef/>
      </w:r>
      <w:r w:rsidRPr="004A51E7">
        <w:t xml:space="preserve"> </w:t>
      </w:r>
      <w:r w:rsidR="0088399E">
        <w:t>„</w:t>
      </w:r>
      <w:r w:rsidRPr="007F2265">
        <w:t>Die christliche Offenbarung kennt zwei besondere Weisen, die Berufung der menschlichen Person zur Liebe ganzheitlich zu verwirklichen: die Ehe und die Jungfräulichkeit. Sowohl die eine als auch die andere ist in der ihr eigenen Weise eine konkrete Verwirklichung der tiefsten</w:t>
      </w:r>
      <w:r>
        <w:t xml:space="preserve"> Wahrheit des Menschen, seines ‚Seins nach dem Bild Gottes‘.</w:t>
      </w:r>
      <w:r w:rsidR="0088399E">
        <w:t>“</w:t>
      </w:r>
      <w:r>
        <w:t xml:space="preserve"> – </w:t>
      </w:r>
      <w:r w:rsidR="00811A95">
        <w:t xml:space="preserve">Johannes Paul II., </w:t>
      </w:r>
      <w:r>
        <w:t>FC</w:t>
      </w:r>
      <w:r w:rsidRPr="004A51E7">
        <w:t xml:space="preserve"> 11.</w:t>
      </w:r>
    </w:p>
  </w:footnote>
  <w:footnote w:id="8">
    <w:p w:rsidR="00A00DBF" w:rsidRPr="00A00DBF" w:rsidRDefault="00A00DBF" w:rsidP="00FB5FD6">
      <w:pPr>
        <w:pStyle w:val="Funotentext"/>
      </w:pPr>
      <w:r>
        <w:rPr>
          <w:rStyle w:val="Funotenzeichen"/>
        </w:rPr>
        <w:footnoteRef/>
      </w:r>
      <w:r w:rsidRPr="00442382">
        <w:t xml:space="preserve"> </w:t>
      </w:r>
      <w:r w:rsidR="0088399E">
        <w:t>„</w:t>
      </w:r>
      <w:r w:rsidRPr="00133080">
        <w:t>Seiner innersten Struktur nach befähigt der eheliche Akt, indem er den Gatten und die Gattin aufs engste miteinander vereint, zugleich zur Zeugung neuen Lebens, entsprechend den Gesetzen, die in die Natur des Mannes und der Frau eingeschrieben sind. Wenn die beiden wesentlichen Gesicht</w:t>
      </w:r>
      <w:r w:rsidRPr="00133080">
        <w:t>s</w:t>
      </w:r>
      <w:r w:rsidRPr="00133080">
        <w:t>punkte der liebenden Vereinigung und der Fortpflanzung beachtet werden, behält der Verkehr in der Ehe voll und ganz den Sinngehalt gegenseitiger und wahrer Liebe, und seine Hinordnung auf die e</w:t>
      </w:r>
      <w:r w:rsidRPr="00133080">
        <w:t>r</w:t>
      </w:r>
      <w:r w:rsidRPr="00133080">
        <w:t>habene Aufgabe der Elternschaft, zu der der Mensch berufen ist.</w:t>
      </w:r>
      <w:r w:rsidR="0088399E">
        <w:t>“</w:t>
      </w:r>
      <w:r>
        <w:t xml:space="preserve"> – </w:t>
      </w:r>
      <w:r w:rsidRPr="00A00DBF">
        <w:t xml:space="preserve">Paul VI., Enzyklika </w:t>
      </w:r>
      <w:r w:rsidR="0088399E">
        <w:t>„</w:t>
      </w:r>
      <w:proofErr w:type="spellStart"/>
      <w:r w:rsidRPr="00A00DBF">
        <w:t>Humanae</w:t>
      </w:r>
      <w:proofErr w:type="spellEnd"/>
      <w:r w:rsidRPr="00A00DBF">
        <w:t xml:space="preserve"> </w:t>
      </w:r>
      <w:proofErr w:type="spellStart"/>
      <w:r w:rsidRPr="00A00DBF">
        <w:t>vitae</w:t>
      </w:r>
      <w:proofErr w:type="spellEnd"/>
      <w:r w:rsidR="0088399E">
        <w:t>“</w:t>
      </w:r>
      <w:r w:rsidR="00BB3308">
        <w:t xml:space="preserve"> (= HV)</w:t>
      </w:r>
      <w:r w:rsidRPr="00A00DBF">
        <w:t xml:space="preserve"> über die rechte Ordnung der Weitergabe des menschlichen Lebens</w:t>
      </w:r>
      <w:r w:rsidR="00AC13AD">
        <w:t xml:space="preserve"> (</w:t>
      </w:r>
      <w:r w:rsidR="00BB3308">
        <w:t>in: Geheimnis ehel</w:t>
      </w:r>
      <w:r w:rsidR="00BB3308">
        <w:t>i</w:t>
      </w:r>
      <w:r w:rsidR="00BB3308">
        <w:t xml:space="preserve">cher Liebe. </w:t>
      </w:r>
      <w:proofErr w:type="spellStart"/>
      <w:r w:rsidR="00BB3308">
        <w:t>Humanae</w:t>
      </w:r>
      <w:proofErr w:type="spellEnd"/>
      <w:r w:rsidR="00BB3308">
        <w:t xml:space="preserve"> </w:t>
      </w:r>
      <w:proofErr w:type="spellStart"/>
      <w:r w:rsidR="00BB3308">
        <w:t>vitae</w:t>
      </w:r>
      <w:proofErr w:type="spellEnd"/>
      <w:r w:rsidR="00BB3308">
        <w:t xml:space="preserve"> – 40 Jahre danach, </w:t>
      </w:r>
      <w:proofErr w:type="spellStart"/>
      <w:r w:rsidR="00BB3308">
        <w:t>hg</w:t>
      </w:r>
      <w:proofErr w:type="spellEnd"/>
      <w:r w:rsidR="00BB3308">
        <w:t xml:space="preserve">. v. Christoph </w:t>
      </w:r>
      <w:proofErr w:type="spellStart"/>
      <w:r w:rsidR="00BB3308">
        <w:t>Casetti</w:t>
      </w:r>
      <w:proofErr w:type="spellEnd"/>
      <w:r w:rsidR="00BB3308">
        <w:t xml:space="preserve"> / Maria </w:t>
      </w:r>
      <w:proofErr w:type="spellStart"/>
      <w:r w:rsidR="00BB3308">
        <w:t>Prügl</w:t>
      </w:r>
      <w:proofErr w:type="spellEnd"/>
      <w:r w:rsidR="00BB3308">
        <w:t>, Salzburg 2008, 27-48</w:t>
      </w:r>
      <w:r w:rsidR="00AC13AD">
        <w:t>)</w:t>
      </w:r>
      <w:r w:rsidRPr="00A00DBF">
        <w:t>, 25. Juli 1968</w:t>
      </w:r>
      <w:r w:rsidR="00F1541A" w:rsidRPr="00A00DBF">
        <w:t>, Nr. 12</w:t>
      </w:r>
      <w:r w:rsidRPr="00A00DBF">
        <w:t xml:space="preserve">, </w:t>
      </w:r>
      <w:hyperlink r:id="rId3" w:history="1">
        <w:r w:rsidRPr="00A00DBF">
          <w:rPr>
            <w:rStyle w:val="Hyperlink"/>
            <w:color w:val="auto"/>
            <w:u w:val="none"/>
          </w:rPr>
          <w:t>http://stjosef.at/dokumente/humanae_vitae.htm</w:t>
        </w:r>
      </w:hyperlink>
      <w:r w:rsidR="00F1541A">
        <w:rPr>
          <w:rStyle w:val="Hyperlink"/>
          <w:color w:val="auto"/>
          <w:u w:val="none"/>
        </w:rPr>
        <w:t xml:space="preserve"> </w:t>
      </w:r>
      <w:r w:rsidRPr="00A00DBF">
        <w:t>.</w:t>
      </w:r>
    </w:p>
  </w:footnote>
  <w:footnote w:id="9">
    <w:p w:rsidR="004A51E7" w:rsidRDefault="004A51E7" w:rsidP="00FB5FD6">
      <w:pPr>
        <w:pStyle w:val="Funotentext"/>
      </w:pPr>
      <w:r>
        <w:rPr>
          <w:rStyle w:val="Funotenzeichen"/>
        </w:rPr>
        <w:footnoteRef/>
      </w:r>
      <w:r>
        <w:t xml:space="preserve"> </w:t>
      </w:r>
      <w:r w:rsidR="0088399E">
        <w:t>„</w:t>
      </w:r>
      <w:r w:rsidRPr="004A51E7">
        <w:rPr>
          <w:rFonts w:eastAsiaTheme="minorHAnsi"/>
          <w:lang w:eastAsia="en-US" w:bidi="he-IL"/>
        </w:rPr>
        <w:t>Wir wollen uns freuen und jubeln und ihm die Ehre erweisen. Denn gekommen ist die Hochzeit des Lammes, und sein</w:t>
      </w:r>
      <w:r>
        <w:rPr>
          <w:rFonts w:eastAsiaTheme="minorHAnsi"/>
          <w:lang w:eastAsia="en-US" w:bidi="he-IL"/>
        </w:rPr>
        <w:t>e Frau hat sich bereit gemacht.</w:t>
      </w:r>
      <w:r w:rsidR="0088399E">
        <w:rPr>
          <w:rFonts w:eastAsiaTheme="minorHAnsi"/>
          <w:lang w:eastAsia="en-US" w:bidi="he-IL"/>
        </w:rPr>
        <w:t>“</w:t>
      </w:r>
      <w:r>
        <w:rPr>
          <w:rFonts w:eastAsiaTheme="minorHAnsi"/>
          <w:lang w:eastAsia="en-US" w:bidi="he-IL"/>
        </w:rPr>
        <w:t xml:space="preserve"> (</w:t>
      </w:r>
      <w:proofErr w:type="spellStart"/>
      <w:r>
        <w:rPr>
          <w:rFonts w:eastAsiaTheme="minorHAnsi"/>
          <w:lang w:eastAsia="en-US" w:bidi="he-IL"/>
        </w:rPr>
        <w:t>Offb</w:t>
      </w:r>
      <w:proofErr w:type="spellEnd"/>
      <w:r>
        <w:rPr>
          <w:rFonts w:eastAsiaTheme="minorHAnsi"/>
          <w:lang w:eastAsia="en-US" w:bidi="he-IL"/>
        </w:rPr>
        <w:t xml:space="preserve"> 19,7)</w:t>
      </w:r>
    </w:p>
  </w:footnote>
  <w:footnote w:id="10">
    <w:p w:rsidR="004A51E7" w:rsidRPr="006E0BEC" w:rsidRDefault="004A51E7" w:rsidP="00FB5FD6">
      <w:pPr>
        <w:pStyle w:val="Funotentext"/>
      </w:pPr>
      <w:r>
        <w:rPr>
          <w:rStyle w:val="Funotenzeichen"/>
        </w:rPr>
        <w:footnoteRef/>
      </w:r>
      <w:r>
        <w:t xml:space="preserve"> </w:t>
      </w:r>
      <w:r w:rsidR="0088399E">
        <w:t>„</w:t>
      </w:r>
      <w:r w:rsidRPr="004A51E7">
        <w:rPr>
          <w:rFonts w:eastAsiaTheme="minorHAnsi"/>
          <w:lang w:eastAsia="en-US" w:bidi="he-IL"/>
        </w:rPr>
        <w:t xml:space="preserve">Einer ordne sich dem andern unter in der gemeinsamen Ehrfurcht vor Christus. Ihr Frauen, ordnet euch euren Männern </w:t>
      </w:r>
      <w:r w:rsidR="006E0BEC">
        <w:rPr>
          <w:rFonts w:eastAsiaTheme="minorHAnsi"/>
          <w:lang w:eastAsia="en-US" w:bidi="he-IL"/>
        </w:rPr>
        <w:t xml:space="preserve">unter wie dem Herrn; </w:t>
      </w:r>
      <w:r w:rsidRPr="004A51E7">
        <w:rPr>
          <w:rFonts w:eastAsiaTheme="minorHAnsi"/>
          <w:lang w:eastAsia="en-US" w:bidi="he-IL"/>
        </w:rPr>
        <w:t xml:space="preserve">denn der Mann ist das Haupt der Frau, wie auch Christus das Haupt der Kirche ist; er hat sie gerettet, denn sie ist sein Leib. Wie aber die Kirche sich Christus unterordnet, sollen sich die Frauen in allem den Männern unterordnen. </w:t>
      </w:r>
      <w:r>
        <w:t xml:space="preserve">Ihr Männer, liebt eure Frauen, wie Christus </w:t>
      </w:r>
      <w:r w:rsidRPr="004A51E7">
        <w:rPr>
          <w:rFonts w:eastAsiaTheme="minorHAnsi"/>
          <w:lang w:eastAsia="en-US" w:bidi="he-IL"/>
        </w:rPr>
        <w:t>die Kirche geliebt und sich für sie hingegeben hat, um sie im Wasser und durch das Wort rein und heilig zu machen. So will er die Kirche herrlich vor sich erscheinen lassen, ohne Flecken, Falten oder andere Fehler; heilig soll sie sein und makellos. Darum sind die Männer verpflichtet, ihre Frauen so zu lieben wie ihren eigenen Leib. Wer seine</w:t>
      </w:r>
      <w:r w:rsidR="006E0BEC">
        <w:rPr>
          <w:rFonts w:eastAsiaTheme="minorHAnsi"/>
          <w:lang w:eastAsia="en-US" w:bidi="he-IL"/>
        </w:rPr>
        <w:t xml:space="preserve"> Frau liebt, liebt sich selbst.</w:t>
      </w:r>
      <w:r w:rsidRPr="004A51E7">
        <w:rPr>
          <w:rFonts w:eastAsiaTheme="minorHAnsi"/>
          <w:lang w:eastAsia="en-US" w:bidi="he-IL"/>
        </w:rPr>
        <w:t xml:space="preserve"> </w:t>
      </w:r>
      <w:r w:rsidR="006E0BEC">
        <w:rPr>
          <w:rFonts w:eastAsiaTheme="minorHAnsi"/>
          <w:lang w:eastAsia="en-US" w:bidi="he-IL"/>
        </w:rPr>
        <w:t>K</w:t>
      </w:r>
      <w:r w:rsidRPr="004A51E7">
        <w:rPr>
          <w:rFonts w:eastAsiaTheme="minorHAnsi"/>
          <w:lang w:eastAsia="en-US" w:bidi="he-IL"/>
        </w:rPr>
        <w:t xml:space="preserve">einer hat je seinen eigenen Leib </w:t>
      </w:r>
      <w:r w:rsidR="009F1EB2" w:rsidRPr="004A51E7">
        <w:rPr>
          <w:rFonts w:eastAsiaTheme="minorHAnsi"/>
          <w:lang w:eastAsia="en-US" w:bidi="he-IL"/>
        </w:rPr>
        <w:t>gehasst</w:t>
      </w:r>
      <w:r w:rsidRPr="004A51E7">
        <w:rPr>
          <w:rFonts w:eastAsiaTheme="minorHAnsi"/>
          <w:lang w:eastAsia="en-US" w:bidi="he-IL"/>
        </w:rPr>
        <w:t>, sondern er nährt und pflegt ihn, wie auch Christus die Kirche. Denn wir sind Glieder seines Leibes. Darum wird der Mann Vater und Mutter verlassen und sich an seine Frau bi</w:t>
      </w:r>
      <w:r w:rsidRPr="004A51E7">
        <w:rPr>
          <w:rFonts w:eastAsiaTheme="minorHAnsi"/>
          <w:lang w:eastAsia="en-US" w:bidi="he-IL"/>
        </w:rPr>
        <w:t>n</w:t>
      </w:r>
      <w:r w:rsidRPr="004A51E7">
        <w:rPr>
          <w:rFonts w:eastAsiaTheme="minorHAnsi"/>
          <w:lang w:eastAsia="en-US" w:bidi="he-IL"/>
        </w:rPr>
        <w:t xml:space="preserve">den, und die zwei werden </w:t>
      </w:r>
      <w:r w:rsidRPr="006E0BEC">
        <w:rPr>
          <w:rFonts w:eastAsiaTheme="minorHAnsi"/>
          <w:lang w:eastAsia="en-US" w:bidi="he-IL"/>
        </w:rPr>
        <w:t>ein Fleisch sein. Dies ist ein tiefes Geheimnis; ich beziehe es auf Christus und die Kirche.</w:t>
      </w:r>
      <w:r w:rsidR="0088399E" w:rsidRPr="006E0BEC">
        <w:rPr>
          <w:rFonts w:eastAsiaTheme="minorHAnsi"/>
          <w:lang w:eastAsia="en-US" w:bidi="he-IL"/>
        </w:rPr>
        <w:t>“</w:t>
      </w:r>
      <w:r w:rsidRPr="006E0BEC">
        <w:rPr>
          <w:rFonts w:eastAsiaTheme="minorHAnsi"/>
          <w:lang w:eastAsia="en-US" w:bidi="he-IL"/>
        </w:rPr>
        <w:t xml:space="preserve"> (</w:t>
      </w:r>
      <w:proofErr w:type="spellStart"/>
      <w:r w:rsidRPr="006E0BEC">
        <w:rPr>
          <w:rFonts w:eastAsiaTheme="minorHAnsi"/>
          <w:lang w:eastAsia="en-US" w:bidi="he-IL"/>
        </w:rPr>
        <w:t>Eph</w:t>
      </w:r>
      <w:proofErr w:type="spellEnd"/>
      <w:r w:rsidRPr="006E0BEC">
        <w:rPr>
          <w:rFonts w:eastAsiaTheme="minorHAnsi"/>
          <w:lang w:eastAsia="en-US" w:bidi="he-IL"/>
        </w:rPr>
        <w:t xml:space="preserve"> 5,21-32)</w:t>
      </w:r>
    </w:p>
  </w:footnote>
  <w:footnote w:id="11">
    <w:p w:rsidR="00DD56DE" w:rsidRDefault="00DD56DE" w:rsidP="00FB5FD6">
      <w:pPr>
        <w:pStyle w:val="Funotentext"/>
      </w:pPr>
      <w:r>
        <w:rPr>
          <w:rStyle w:val="Funotenzeichen"/>
        </w:rPr>
        <w:footnoteRef/>
      </w:r>
      <w:r>
        <w:t xml:space="preserve"> Vgl. dazu </w:t>
      </w:r>
      <w:r w:rsidR="006B5994">
        <w:t xml:space="preserve">grundlegend und umfassend: </w:t>
      </w:r>
      <w:r w:rsidRPr="00DD56DE">
        <w:t>Karol Wojtyła, Liebe und Verantwortung. Eine ethische St</w:t>
      </w:r>
      <w:r w:rsidRPr="00DD56DE">
        <w:t>u</w:t>
      </w:r>
      <w:r w:rsidRPr="00DD56DE">
        <w:t xml:space="preserve">die, </w:t>
      </w:r>
      <w:proofErr w:type="spellStart"/>
      <w:r w:rsidRPr="00DD56DE">
        <w:t>hg</w:t>
      </w:r>
      <w:proofErr w:type="spellEnd"/>
      <w:r w:rsidRPr="00DD56DE">
        <w:t>. von Josef Spindelböck, Kleinhain 2007/2010</w:t>
      </w:r>
      <w:r w:rsidRPr="00DD56DE">
        <w:rPr>
          <w:vertAlign w:val="superscript"/>
        </w:rPr>
        <w:t>2</w:t>
      </w:r>
      <w:r>
        <w:t xml:space="preserve">; </w:t>
      </w:r>
      <w:r w:rsidRPr="00DD56DE">
        <w:t xml:space="preserve">Johannes Paul II., Die menschliche Liebe im göttlichen Heilsplan. Eine Theologie des Leibes, </w:t>
      </w:r>
      <w:proofErr w:type="spellStart"/>
      <w:r w:rsidRPr="00DD56DE">
        <w:t>hg</w:t>
      </w:r>
      <w:proofErr w:type="spellEnd"/>
      <w:r w:rsidRPr="00DD56DE">
        <w:t xml:space="preserve">. v. Norbert und Renate Martin, </w:t>
      </w:r>
      <w:proofErr w:type="spellStart"/>
      <w:r w:rsidRPr="00DD56DE">
        <w:t>Kisslegg</w:t>
      </w:r>
      <w:proofErr w:type="spellEnd"/>
      <w:r w:rsidRPr="00DD56DE">
        <w:t xml:space="preserve"> 2008</w:t>
      </w:r>
      <w:r w:rsidRPr="00DD56DE">
        <w:rPr>
          <w:vertAlign w:val="superscript"/>
        </w:rPr>
        <w:t>2</w:t>
      </w:r>
      <w:r w:rsidRPr="00DD56DE">
        <w:t>.</w:t>
      </w:r>
    </w:p>
  </w:footnote>
  <w:footnote w:id="12">
    <w:p w:rsidR="008D4543" w:rsidRDefault="008D4543" w:rsidP="00FB5FD6">
      <w:pPr>
        <w:pStyle w:val="Funotentext"/>
      </w:pPr>
      <w:r>
        <w:rPr>
          <w:rStyle w:val="Funotenzeichen"/>
        </w:rPr>
        <w:footnoteRef/>
      </w:r>
      <w:r>
        <w:t xml:space="preserve"> Auf den Schöpfungsplan Gottes (</w:t>
      </w:r>
      <w:r w:rsidR="0088399E">
        <w:t>„</w:t>
      </w:r>
      <w:r>
        <w:t>am Anfang</w:t>
      </w:r>
      <w:r w:rsidR="0088399E">
        <w:t>“</w:t>
      </w:r>
      <w:r>
        <w:t xml:space="preserve">) nimmt Jesus Christus in </w:t>
      </w:r>
      <w:proofErr w:type="spellStart"/>
      <w:r>
        <w:t>Mt</w:t>
      </w:r>
      <w:proofErr w:type="spellEnd"/>
      <w:r>
        <w:t xml:space="preserve"> 19,8 Bezug, als er die Scheidungsmöglichkeit inklusive Wiederverheiratung kategorisch ausschließt.</w:t>
      </w:r>
    </w:p>
  </w:footnote>
  <w:footnote w:id="13">
    <w:p w:rsidR="00883D98" w:rsidRDefault="00883D98" w:rsidP="00FB5FD6">
      <w:pPr>
        <w:pStyle w:val="Funotentext"/>
      </w:pPr>
      <w:r>
        <w:rPr>
          <w:rStyle w:val="Funotenzeichen"/>
        </w:rPr>
        <w:footnoteRef/>
      </w:r>
      <w:r>
        <w:t xml:space="preserve"> </w:t>
      </w:r>
      <w:r w:rsidR="0088399E">
        <w:t>„</w:t>
      </w:r>
      <w:r w:rsidRPr="00883D98">
        <w:rPr>
          <w:rFonts w:eastAsiaTheme="minorHAnsi"/>
          <w:lang w:eastAsia="en-US" w:bidi="he-IL"/>
        </w:rPr>
        <w:t xml:space="preserve">Darum </w:t>
      </w:r>
      <w:r w:rsidR="009F1EB2" w:rsidRPr="00883D98">
        <w:rPr>
          <w:rFonts w:eastAsiaTheme="minorHAnsi"/>
          <w:lang w:eastAsia="en-US" w:bidi="he-IL"/>
        </w:rPr>
        <w:t>verlässt</w:t>
      </w:r>
      <w:r w:rsidRPr="00883D98">
        <w:rPr>
          <w:rFonts w:eastAsiaTheme="minorHAnsi"/>
          <w:lang w:eastAsia="en-US" w:bidi="he-IL"/>
        </w:rPr>
        <w:t xml:space="preserve"> der Mann Vater und Mutter und bindet sich an seine Frau, und sie werden ein Fleisch.</w:t>
      </w:r>
      <w:r w:rsidR="0088399E">
        <w:rPr>
          <w:rFonts w:eastAsiaTheme="minorHAnsi"/>
          <w:lang w:eastAsia="en-US" w:bidi="he-IL"/>
        </w:rPr>
        <w:t>“</w:t>
      </w:r>
      <w:r w:rsidRPr="00883D98">
        <w:rPr>
          <w:rFonts w:eastAsiaTheme="minorHAnsi"/>
          <w:lang w:eastAsia="en-US" w:bidi="he-IL"/>
        </w:rPr>
        <w:t xml:space="preserve"> </w:t>
      </w:r>
      <w:r w:rsidRPr="00FB4B88">
        <w:rPr>
          <w:rFonts w:eastAsiaTheme="minorHAnsi"/>
          <w:lang w:eastAsia="en-US" w:bidi="he-IL"/>
        </w:rPr>
        <w:t>(Gen 2,24)</w:t>
      </w:r>
    </w:p>
  </w:footnote>
  <w:footnote w:id="14">
    <w:p w:rsidR="006F659B" w:rsidRDefault="006F659B" w:rsidP="00FB5FD6">
      <w:pPr>
        <w:pStyle w:val="Funotentext"/>
      </w:pPr>
      <w:r>
        <w:rPr>
          <w:rStyle w:val="Funotenzeichen"/>
        </w:rPr>
        <w:footnoteRef/>
      </w:r>
      <w:r>
        <w:t xml:space="preserve"> All dies kommt in den Worten des </w:t>
      </w:r>
      <w:r w:rsidRPr="00B22320">
        <w:t>liturgischen Trauungsritus zum Ausdruck</w:t>
      </w:r>
      <w:r w:rsidR="008B02E5" w:rsidRPr="00B22320">
        <w:t>: „N., vor Gottes Ang</w:t>
      </w:r>
      <w:r w:rsidR="008B02E5" w:rsidRPr="00B22320">
        <w:t>e</w:t>
      </w:r>
      <w:r w:rsidR="008B02E5" w:rsidRPr="00B22320">
        <w:t>sicht nehme ich dich an als meine Frau / meinen Mann. Ich verspreche dir die Treue in guten und in bösen Tagen, in Gesundheit und Krankheit, bis der Tod uns scheidet.</w:t>
      </w:r>
      <w:r w:rsidR="008B02E5">
        <w:t xml:space="preserve"> Ich will dich lieben, achten und ehren, alle Tage meines Lebens.“ (Die Feier der Trauung in den katholischen Bistümern des deu</w:t>
      </w:r>
      <w:r w:rsidR="008B02E5">
        <w:t>t</w:t>
      </w:r>
      <w:r w:rsidR="008B02E5">
        <w:t>schen Sprachgebietes, Freiburg u.a. 1998</w:t>
      </w:r>
      <w:r w:rsidR="008B02E5" w:rsidRPr="008B02E5">
        <w:rPr>
          <w:vertAlign w:val="superscript"/>
        </w:rPr>
        <w:t>2</w:t>
      </w:r>
      <w:r w:rsidR="008B02E5">
        <w:t>, 40-41)</w:t>
      </w:r>
    </w:p>
  </w:footnote>
  <w:footnote w:id="15">
    <w:p w:rsidR="00D673D1" w:rsidRDefault="00D673D1" w:rsidP="00FB5FD6">
      <w:pPr>
        <w:pStyle w:val="Funotentext"/>
      </w:pPr>
      <w:r>
        <w:rPr>
          <w:rStyle w:val="Funotenzeichen"/>
        </w:rPr>
        <w:footnoteRef/>
      </w:r>
      <w:r>
        <w:t xml:space="preserve"> </w:t>
      </w:r>
      <w:r w:rsidR="00397631">
        <w:t xml:space="preserve">Vgl. </w:t>
      </w:r>
      <w:proofErr w:type="spellStart"/>
      <w:r w:rsidR="00397631">
        <w:t>can</w:t>
      </w:r>
      <w:proofErr w:type="spellEnd"/>
      <w:r w:rsidR="00397631">
        <w:t>. 1083 CIC</w:t>
      </w:r>
      <w:r>
        <w:t>.</w:t>
      </w:r>
      <w:r w:rsidR="00397631">
        <w:t xml:space="preserve"> </w:t>
      </w:r>
      <w:r w:rsidR="00397631" w:rsidRPr="00397631">
        <w:t xml:space="preserve">Die Kirche hält sich </w:t>
      </w:r>
      <w:r w:rsidR="00B22320">
        <w:t xml:space="preserve">grundsätzlich </w:t>
      </w:r>
      <w:r w:rsidR="00397631" w:rsidRPr="00397631">
        <w:t>an die staatliche Regelung</w:t>
      </w:r>
      <w:r w:rsidR="00397631">
        <w:t xml:space="preserve"> (Volljährigkeit); </w:t>
      </w:r>
      <w:r w:rsidR="00B22320">
        <w:t xml:space="preserve">in begründeten Fällen </w:t>
      </w:r>
      <w:r w:rsidR="00E2048A">
        <w:t>wird</w:t>
      </w:r>
      <w:r w:rsidR="00B22320">
        <w:t xml:space="preserve"> einem Antrag auf Herabsetzung des Heiratsalters nachgegeben.</w:t>
      </w:r>
    </w:p>
  </w:footnote>
  <w:footnote w:id="16">
    <w:p w:rsidR="00EF520C" w:rsidRDefault="00EF520C" w:rsidP="00FB5FD6">
      <w:pPr>
        <w:pStyle w:val="Funotentext"/>
      </w:pPr>
      <w:r>
        <w:rPr>
          <w:rStyle w:val="Funotenzeichen"/>
        </w:rPr>
        <w:footnoteRef/>
      </w:r>
      <w:r>
        <w:t xml:space="preserve"> </w:t>
      </w:r>
      <w:r w:rsidR="00160246">
        <w:t xml:space="preserve">Vgl. </w:t>
      </w:r>
      <w:proofErr w:type="spellStart"/>
      <w:r w:rsidR="00160246">
        <w:t>can</w:t>
      </w:r>
      <w:proofErr w:type="spellEnd"/>
      <w:r w:rsidR="00160246">
        <w:t xml:space="preserve">. 1095 CIC. </w:t>
      </w:r>
      <w:r>
        <w:t xml:space="preserve">Ist jemand z.B. ein starker Alkoholiker, so </w:t>
      </w:r>
      <w:r w:rsidR="00B22320">
        <w:t>ist</w:t>
      </w:r>
      <w:r>
        <w:t xml:space="preserve"> dies von vornherein fraglich; äh</w:t>
      </w:r>
      <w:r>
        <w:t>n</w:t>
      </w:r>
      <w:r>
        <w:t>lich bei tiefsit</w:t>
      </w:r>
      <w:r w:rsidR="00B22320">
        <w:t xml:space="preserve">zenden homosexuellen Tendenzen, </w:t>
      </w:r>
      <w:r>
        <w:t>bei psychischer Instabilität etc.</w:t>
      </w:r>
    </w:p>
  </w:footnote>
  <w:footnote w:id="17">
    <w:p w:rsidR="00283EFA" w:rsidRDefault="00FB4B88" w:rsidP="00FB5FD6">
      <w:pPr>
        <w:pStyle w:val="Funotentext"/>
      </w:pPr>
      <w:r>
        <w:rPr>
          <w:rStyle w:val="Funotenzeichen"/>
        </w:rPr>
        <w:footnoteRef/>
      </w:r>
      <w:r>
        <w:t xml:space="preserve"> Vgl. </w:t>
      </w:r>
      <w:proofErr w:type="spellStart"/>
      <w:r>
        <w:t>cann</w:t>
      </w:r>
      <w:proofErr w:type="spellEnd"/>
      <w:r>
        <w:t>. 1083-1094</w:t>
      </w:r>
      <w:r w:rsidR="00BB3308">
        <w:t xml:space="preserve"> CIC</w:t>
      </w:r>
      <w:r w:rsidR="00283EFA">
        <w:t xml:space="preserve"> (</w:t>
      </w:r>
      <w:r w:rsidR="00B22320">
        <w:t xml:space="preserve">fehlendes </w:t>
      </w:r>
      <w:r w:rsidR="00283EFA">
        <w:t>Alter, Unfähigkeit zum Beischlaf, bestehende gültige Ehe, Religionsverschiedenheit, Bindung durch Weihesakrament oder Ordensgelübde, Entführung, Gatte</w:t>
      </w:r>
      <w:r w:rsidR="00283EFA">
        <w:t>n</w:t>
      </w:r>
      <w:r w:rsidR="00283EFA">
        <w:t xml:space="preserve">mord, Blutsverwandtschaft, Schwägerschaft). </w:t>
      </w:r>
      <w:r>
        <w:t>Von Hindernissen, die nicht göttlichen Rechts sind, kann die Kirche bei Vorliegen eines gerechten Grundes dispensieren</w:t>
      </w:r>
      <w:r w:rsidR="00283EFA">
        <w:t>.</w:t>
      </w:r>
    </w:p>
  </w:footnote>
  <w:footnote w:id="18">
    <w:p w:rsidR="00BF40D2" w:rsidRPr="00BF40D2" w:rsidRDefault="00BF40D2" w:rsidP="008B17BA">
      <w:pPr>
        <w:pStyle w:val="Funotentext"/>
        <w:jc w:val="left"/>
      </w:pPr>
      <w:r>
        <w:rPr>
          <w:rStyle w:val="Funotenzeichen"/>
        </w:rPr>
        <w:footnoteRef/>
      </w:r>
      <w:r>
        <w:t xml:space="preserve"> </w:t>
      </w:r>
      <w:r w:rsidR="0088399E">
        <w:t>„</w:t>
      </w:r>
      <w:r w:rsidRPr="00BF40D2">
        <w:t xml:space="preserve">Die Endgültigkeit der ehelichen Treue, die heute vielen nicht mehr verständlich erscheinen will, ist ebenfalls ein Ausdruck der unbedingten Würde des Menschen. Man kann nicht nur auf Probe leben, man kann nicht nur auf Probe </w:t>
      </w:r>
      <w:r w:rsidRPr="00365627">
        <w:t>sterben. Man kann nicht nur auf Probe lieben, nur auf Probe und Zeit einen Menschen annehmen.</w:t>
      </w:r>
      <w:r w:rsidR="0088399E" w:rsidRPr="00365627">
        <w:t>“</w:t>
      </w:r>
      <w:r w:rsidRPr="00365627">
        <w:t xml:space="preserve"> – Jo</w:t>
      </w:r>
      <w:r w:rsidRPr="00BF40D2">
        <w:t>hannes</w:t>
      </w:r>
      <w:r>
        <w:t xml:space="preserve"> </w:t>
      </w:r>
      <w:r w:rsidRPr="00BF40D2">
        <w:t>Paul II., Predigt bei</w:t>
      </w:r>
      <w:r>
        <w:t xml:space="preserve">m Deutschlandbesuch am 15. November </w:t>
      </w:r>
      <w:r w:rsidRPr="00BF40D2">
        <w:t>1980 in Köln</w:t>
      </w:r>
      <w:r w:rsidRPr="00365627">
        <w:t xml:space="preserve">, </w:t>
      </w:r>
      <w:hyperlink r:id="rId4" w:history="1">
        <w:r w:rsidR="00365627" w:rsidRPr="00365627">
          <w:rPr>
            <w:rStyle w:val="Hyperlink"/>
            <w:color w:val="auto"/>
            <w:u w:val="none"/>
          </w:rPr>
          <w:t>http://www.vatican.va/holy_father/john_paul_ii/homilies/1980/documents/hf_jp-ii_hom_19801115_colonia-germany_ge.html</w:t>
        </w:r>
      </w:hyperlink>
      <w:r w:rsidR="00365627">
        <w:t xml:space="preserve"> </w:t>
      </w:r>
      <w:r w:rsidRPr="00BF40D2">
        <w:t>.</w:t>
      </w:r>
    </w:p>
  </w:footnote>
  <w:footnote w:id="19">
    <w:p w:rsidR="00397631" w:rsidRDefault="00397631" w:rsidP="00FB5FD6">
      <w:pPr>
        <w:pStyle w:val="Funotentext"/>
      </w:pPr>
      <w:r>
        <w:rPr>
          <w:rStyle w:val="Funotenzeichen"/>
        </w:rPr>
        <w:footnoteRef/>
      </w:r>
      <w:r>
        <w:t xml:space="preserve"> </w:t>
      </w:r>
      <w:r w:rsidR="00627E33">
        <w:t xml:space="preserve">Vgl. Konzil von Trient, 24. Sitzung, 11. November 1563, </w:t>
      </w:r>
      <w:proofErr w:type="spellStart"/>
      <w:r w:rsidR="00627E33">
        <w:t>DzH</w:t>
      </w:r>
      <w:proofErr w:type="spellEnd"/>
      <w:r w:rsidR="00627E33">
        <w:t xml:space="preserve"> 1797-1816.</w:t>
      </w:r>
    </w:p>
  </w:footnote>
  <w:footnote w:id="20">
    <w:p w:rsidR="00AE4B46" w:rsidRPr="00AE4B46" w:rsidRDefault="00AE4B46" w:rsidP="00FB5FD6">
      <w:pPr>
        <w:pStyle w:val="Funotentext"/>
        <w:rPr>
          <w:i/>
        </w:rPr>
      </w:pPr>
      <w:r w:rsidRPr="00AE4B46">
        <w:rPr>
          <w:vertAlign w:val="superscript"/>
        </w:rPr>
        <w:footnoteRef/>
      </w:r>
      <w:r w:rsidRPr="00AE4B46">
        <w:t xml:space="preserve"> Vgl. im </w:t>
      </w:r>
      <w:r w:rsidR="0088399E">
        <w:t>„</w:t>
      </w:r>
      <w:r w:rsidRPr="00AE4B46">
        <w:t>Credo des Gottesvolkes</w:t>
      </w:r>
      <w:r w:rsidR="0088399E">
        <w:t>“</w:t>
      </w:r>
      <w:r w:rsidR="00627E33">
        <w:t xml:space="preserve"> („</w:t>
      </w:r>
      <w:r w:rsidR="00627E33" w:rsidRPr="00A2533D">
        <w:t xml:space="preserve">Sollemnis professio fidei”, </w:t>
      </w:r>
      <w:r w:rsidR="000743A3" w:rsidRPr="00A2533D">
        <w:t xml:space="preserve">lat. </w:t>
      </w:r>
      <w:r w:rsidR="00627E33">
        <w:rPr>
          <w:lang w:val="de-DE"/>
        </w:rPr>
        <w:t>in: AAS 60 [1968] 437-445)</w:t>
      </w:r>
      <w:r w:rsidRPr="00AE4B46">
        <w:t xml:space="preserve">, das Paul VI. </w:t>
      </w:r>
      <w:r w:rsidR="00627E33">
        <w:t xml:space="preserve">am 30. Juni 1968 </w:t>
      </w:r>
      <w:r w:rsidRPr="00AE4B46">
        <w:t>in feierlicher Weise vorgelegt hat</w:t>
      </w:r>
      <w:r w:rsidR="00627E33">
        <w:t xml:space="preserve"> (</w:t>
      </w:r>
      <w:r w:rsidR="00627E33" w:rsidRPr="00627E33">
        <w:t>http://www.padre.at/credo.htm</w:t>
      </w:r>
      <w:r w:rsidR="00627E33">
        <w:t>)</w:t>
      </w:r>
      <w:r w:rsidRPr="00AE4B46">
        <w:t xml:space="preserve">: </w:t>
      </w:r>
      <w:r w:rsidR="0088399E">
        <w:t>„</w:t>
      </w:r>
      <w:r w:rsidRPr="00AE4B46">
        <w:t xml:space="preserve">Wir glauben an den einen Gott: Vater, Sohn und Heiligen Geist, Schöpfer der sichtbaren Dinge, wie es diese Welt ist, auf der unser flüchtiges Leben sich </w:t>
      </w:r>
      <w:r w:rsidRPr="00252250">
        <w:t>abspielt, Schöpfer der unsichtbaren Dinge, wie es die reinen Geister sind, die man auch Engel nennt, und Schöpfer der unsterblichen Geistseele eines jeden Menschen.</w:t>
      </w:r>
      <w:r w:rsidR="0088399E" w:rsidRPr="00252250">
        <w:t>“</w:t>
      </w:r>
      <w:r w:rsidRPr="00252250">
        <w:t xml:space="preserve"> (Nr. 1)</w:t>
      </w:r>
      <w:r w:rsidR="00252250" w:rsidRPr="00252250">
        <w:t xml:space="preserve"> Ähnlich auch KKK 366: „Die Kirche</w:t>
      </w:r>
      <w:r w:rsidR="00252250">
        <w:t xml:space="preserve"> lehrt, dass jede Geistseele unmittelbar von Gott geschaffen ist – sie wird nicht von den Eltern ‚hervorgebracht‘ …“</w:t>
      </w:r>
    </w:p>
  </w:footnote>
  <w:footnote w:id="21">
    <w:p w:rsidR="000F3103" w:rsidRDefault="000F3103" w:rsidP="00FB5FD6">
      <w:pPr>
        <w:pStyle w:val="Funotentext"/>
      </w:pPr>
      <w:r>
        <w:rPr>
          <w:rStyle w:val="Funotenzeichen"/>
        </w:rPr>
        <w:footnoteRef/>
      </w:r>
      <w:r>
        <w:t xml:space="preserve"> </w:t>
      </w:r>
      <w:r w:rsidR="0088399E">
        <w:t>„</w:t>
      </w:r>
      <w:r w:rsidRPr="000F3103">
        <w:rPr>
          <w:rFonts w:eastAsiaTheme="minorHAnsi"/>
          <w:lang w:eastAsia="en-US" w:bidi="he-IL"/>
        </w:rPr>
        <w:t xml:space="preserve">Jetzt aber </w:t>
      </w:r>
      <w:r w:rsidR="00DA3D9B">
        <w:rPr>
          <w:rFonts w:eastAsiaTheme="minorHAnsi"/>
          <w:lang w:eastAsia="en-US" w:bidi="he-IL"/>
        </w:rPr>
        <w:t>–</w:t>
      </w:r>
      <w:r w:rsidRPr="000F3103">
        <w:rPr>
          <w:rFonts w:eastAsiaTheme="minorHAnsi"/>
          <w:lang w:eastAsia="en-US" w:bidi="he-IL"/>
        </w:rPr>
        <w:t xml:space="preserve"> so</w:t>
      </w:r>
      <w:r w:rsidR="00DA3D9B">
        <w:rPr>
          <w:rFonts w:eastAsiaTheme="minorHAnsi"/>
          <w:lang w:eastAsia="en-US" w:bidi="he-IL"/>
        </w:rPr>
        <w:t xml:space="preserve"> </w:t>
      </w:r>
      <w:r w:rsidRPr="000F3103">
        <w:rPr>
          <w:rFonts w:eastAsiaTheme="minorHAnsi"/>
          <w:lang w:eastAsia="en-US" w:bidi="he-IL"/>
        </w:rPr>
        <w:t xml:space="preserve">spricht der Herr, der dich geschaffen hat, Jakob, und der dich geformt hat, Israel: Fürchte dich nicht, denn ich habe dich </w:t>
      </w:r>
      <w:r w:rsidRPr="00252250">
        <w:rPr>
          <w:rFonts w:eastAsiaTheme="minorHAnsi"/>
          <w:lang w:eastAsia="en-US" w:bidi="he-IL"/>
        </w:rPr>
        <w:t>ausgelöst, ich habe dich beim Namen gerufen, du</w:t>
      </w:r>
      <w:r w:rsidRPr="000F3103">
        <w:rPr>
          <w:rFonts w:eastAsiaTheme="minorHAnsi"/>
          <w:lang w:eastAsia="en-US" w:bidi="he-IL"/>
        </w:rPr>
        <w:t xml:space="preserve"> gehörst mir.” (</w:t>
      </w:r>
      <w:proofErr w:type="spellStart"/>
      <w:r w:rsidRPr="000F3103">
        <w:rPr>
          <w:rFonts w:eastAsiaTheme="minorHAnsi"/>
          <w:lang w:eastAsia="en-US" w:bidi="he-IL"/>
        </w:rPr>
        <w:t>Jes</w:t>
      </w:r>
      <w:proofErr w:type="spellEnd"/>
      <w:r w:rsidRPr="000F3103">
        <w:rPr>
          <w:rFonts w:eastAsiaTheme="minorHAnsi"/>
          <w:lang w:eastAsia="en-US" w:bidi="he-IL"/>
        </w:rPr>
        <w:t xml:space="preserve"> 43,1)</w:t>
      </w:r>
    </w:p>
  </w:footnote>
  <w:footnote w:id="22">
    <w:p w:rsidR="00F11A4D" w:rsidRPr="00F11A4D" w:rsidRDefault="00F11A4D" w:rsidP="00FB5FD6">
      <w:pPr>
        <w:pStyle w:val="Funotentext"/>
      </w:pPr>
      <w:r>
        <w:rPr>
          <w:rStyle w:val="Funotenzeichen"/>
        </w:rPr>
        <w:footnoteRef/>
      </w:r>
      <w:r w:rsidRPr="00F11A4D">
        <w:t xml:space="preserve"> </w:t>
      </w:r>
      <w:r>
        <w:t xml:space="preserve">In </w:t>
      </w:r>
      <w:proofErr w:type="spellStart"/>
      <w:r>
        <w:t>can</w:t>
      </w:r>
      <w:proofErr w:type="spellEnd"/>
      <w:r>
        <w:t>. 1013</w:t>
      </w:r>
      <w:r w:rsidRPr="00F11A4D">
        <w:t xml:space="preserve"> CIC 1917 fand sich </w:t>
      </w:r>
      <w:r>
        <w:t xml:space="preserve">eine Hierarchisierung der Ehezwecke: 1. Zeugung und Erziehung von Kindern, 2. gegenseitige Hilfeleistung und Heilung des </w:t>
      </w:r>
      <w:r w:rsidR="00171ADB">
        <w:t xml:space="preserve">sexuellen </w:t>
      </w:r>
      <w:r>
        <w:t xml:space="preserve">Begehrens. </w:t>
      </w:r>
      <w:r w:rsidRPr="00F11A4D">
        <w:rPr>
          <w:lang w:val="en-GB"/>
        </w:rPr>
        <w:t>("</w:t>
      </w:r>
      <w:r w:rsidRPr="00F11A4D">
        <w:rPr>
          <w:lang w:val="la-Latn"/>
        </w:rPr>
        <w:t>Matrimonii finis primarius est procreatio atque educatio prolis; secundarius mutuum adiutorium et remedium concupiscentiae</w:t>
      </w:r>
      <w:r w:rsidRPr="00F11A4D">
        <w:rPr>
          <w:lang w:val="en-GB"/>
        </w:rPr>
        <w:t>."</w:t>
      </w:r>
      <w:r>
        <w:rPr>
          <w:lang w:val="en-GB"/>
        </w:rPr>
        <w:t xml:space="preserve">) </w:t>
      </w:r>
      <w:r w:rsidRPr="00F11A4D">
        <w:t xml:space="preserve">Auch gemäß diesem traditionellen Verständnis </w:t>
      </w:r>
      <w:r w:rsidR="00171ADB">
        <w:t>wurde</w:t>
      </w:r>
      <w:r w:rsidRPr="00F11A4D">
        <w:t xml:space="preserve"> vorausgesetzt, dass die eh</w:t>
      </w:r>
      <w:r w:rsidRPr="00F11A4D">
        <w:t>e</w:t>
      </w:r>
      <w:r w:rsidRPr="00F11A4D">
        <w:t xml:space="preserve">liche Liebe nicht in ein Konkurrenzverhältnis zu den übrigen Ehezwecken treten </w:t>
      </w:r>
      <w:r w:rsidR="00171ADB">
        <w:t>kann</w:t>
      </w:r>
      <w:r w:rsidRPr="00F11A4D">
        <w:t xml:space="preserve">, sondern dass sie vielmehr als deren </w:t>
      </w:r>
      <w:r w:rsidR="00171ADB">
        <w:t>Lebens-</w:t>
      </w:r>
      <w:r w:rsidRPr="00F11A4D">
        <w:t xml:space="preserve"> </w:t>
      </w:r>
      <w:r w:rsidR="00A655E2">
        <w:t>und Einheits</w:t>
      </w:r>
      <w:r w:rsidRPr="00F11A4D">
        <w:t>prinzip angesehen w</w:t>
      </w:r>
      <w:r>
        <w:t>e</w:t>
      </w:r>
      <w:r w:rsidRPr="00F11A4D">
        <w:t xml:space="preserve">rden </w:t>
      </w:r>
      <w:r w:rsidR="00171ADB">
        <w:t>muss</w:t>
      </w:r>
      <w:r w:rsidRPr="00F11A4D">
        <w:t>.</w:t>
      </w:r>
    </w:p>
  </w:footnote>
  <w:footnote w:id="23">
    <w:p w:rsidR="005C2AB5" w:rsidRPr="00BB3308" w:rsidRDefault="005C2AB5" w:rsidP="008B17BA">
      <w:pPr>
        <w:pStyle w:val="Funotentext"/>
        <w:jc w:val="left"/>
        <w:rPr>
          <w:lang w:val="en-GB"/>
        </w:rPr>
      </w:pPr>
      <w:r>
        <w:rPr>
          <w:rStyle w:val="Funotenzeichen"/>
        </w:rPr>
        <w:footnoteRef/>
      </w:r>
      <w:r w:rsidRPr="00CA4269">
        <w:t xml:space="preserve"> </w:t>
      </w:r>
      <w:r w:rsidR="0088399E">
        <w:t>„</w:t>
      </w:r>
      <w:r>
        <w:t xml:space="preserve">Ebenso ist jede Handlung </w:t>
      </w:r>
      <w:r w:rsidRPr="00252250">
        <w:t>verwerflich, die entweder in Voraussicht oder während des Vollzugs des ehelichen Aktes oder im Anschluss an ihn beim Ablauf seiner natürlichen Auswirkungen darauf a</w:t>
      </w:r>
      <w:r w:rsidRPr="00252250">
        <w:t>b</w:t>
      </w:r>
      <w:r w:rsidRPr="00252250">
        <w:t>stellt, die Fortpflanzung zu verhindern,</w:t>
      </w:r>
      <w:r>
        <w:t xml:space="preserve"> sei es als Ziel, sei es als Mittel zum Ziel</w:t>
      </w:r>
      <w:r w:rsidR="0088399E">
        <w:t>“</w:t>
      </w:r>
      <w:r>
        <w:t xml:space="preserve"> (</w:t>
      </w:r>
      <w:r w:rsidRPr="0088399E">
        <w:t xml:space="preserve">Paul VI., </w:t>
      </w:r>
      <w:r w:rsidR="00AC13AD">
        <w:t>HV</w:t>
      </w:r>
      <w:r w:rsidRPr="0088399E">
        <w:t xml:space="preserve"> 14)</w:t>
      </w:r>
      <w:r w:rsidR="00871FA2">
        <w:t xml:space="preserve">. Zur Problematik der IVF und ähnlicher Techniken vgl. </w:t>
      </w:r>
      <w:r w:rsidR="00871FA2" w:rsidRPr="00871FA2">
        <w:t>Kongregation für die Glaubenslehre, Instruktion „</w:t>
      </w:r>
      <w:proofErr w:type="spellStart"/>
      <w:r w:rsidR="00871FA2" w:rsidRPr="00871FA2">
        <w:t>Dignitas</w:t>
      </w:r>
      <w:proofErr w:type="spellEnd"/>
      <w:r w:rsidR="00871FA2" w:rsidRPr="00871FA2">
        <w:t xml:space="preserve"> </w:t>
      </w:r>
      <w:proofErr w:type="spellStart"/>
      <w:r w:rsidR="00871FA2" w:rsidRPr="00871FA2">
        <w:t>Personae</w:t>
      </w:r>
      <w:proofErr w:type="spellEnd"/>
      <w:r w:rsidR="00871FA2" w:rsidRPr="00871FA2">
        <w:t>” über einige Fragen d</w:t>
      </w:r>
      <w:r w:rsidR="00871FA2">
        <w:t>er Bioethik</w:t>
      </w:r>
      <w:r w:rsidR="00BB3308">
        <w:t xml:space="preserve"> (Verlautbarungen des Apostolischen Stuhls 183)</w:t>
      </w:r>
      <w:r w:rsidR="00871FA2">
        <w:t xml:space="preserve">, 8. </w:t>
      </w:r>
      <w:r w:rsidR="00871FA2" w:rsidRPr="00BB3308">
        <w:rPr>
          <w:lang w:val="en-GB"/>
        </w:rPr>
        <w:t xml:space="preserve">September 2008, </w:t>
      </w:r>
      <w:hyperlink r:id="rId5" w:history="1">
        <w:r w:rsidR="00871FA2" w:rsidRPr="00BB3308">
          <w:rPr>
            <w:rStyle w:val="Hyperlink"/>
            <w:color w:val="auto"/>
            <w:u w:val="none"/>
            <w:lang w:val="en-GB"/>
          </w:rPr>
          <w:t>http://www.vatican.va/roman_curia/congregations/cfaith/documents/rc_con_cfaith_doc_20081208_dignitas-personae_ge.html</w:t>
        </w:r>
      </w:hyperlink>
      <w:r w:rsidR="00871FA2" w:rsidRPr="00BB3308">
        <w:rPr>
          <w:lang w:val="en-GB"/>
        </w:rPr>
        <w:t xml:space="preserve"> .</w:t>
      </w:r>
    </w:p>
  </w:footnote>
  <w:footnote w:id="24">
    <w:p w:rsidR="00DE12BC" w:rsidRPr="00AC13AD" w:rsidRDefault="00DE12BC" w:rsidP="00FB5FD6">
      <w:pPr>
        <w:pStyle w:val="Funotentext"/>
      </w:pPr>
      <w:r>
        <w:rPr>
          <w:rStyle w:val="Funotenzeichen"/>
        </w:rPr>
        <w:footnoteRef/>
      </w:r>
      <w:r>
        <w:t xml:space="preserve"> </w:t>
      </w:r>
      <w:r w:rsidR="0088399E">
        <w:t>„</w:t>
      </w:r>
      <w:r>
        <w:t>In ihrer Aufgabe, menschliches Leben weiterzugeben und zu erziehen, die als die nur ihnen z</w:t>
      </w:r>
      <w:r>
        <w:t>u</w:t>
      </w:r>
      <w:r>
        <w:t xml:space="preserve">kommende Sendung zu betrachten ist, wissen sich die Eheleute als mitwirkend mit der Liebe Gottes des Schöpfers und gleichsam als </w:t>
      </w:r>
      <w:r w:rsidRPr="00AC13AD">
        <w:t xml:space="preserve">Interpreten dieser Liebe. Daher müssen sie in menschlicher und christlicher Verantwortlichkeit ihre Aufgabe erfüllen und in einer auf Gott hinhörenden Ehrfurcht durch gemeinsame Überlegung versuchen, sich ein sachgerechtes Urteil zu bilden. Hierbei müssen sie auf ihr eigenes Wohl wie auf das ihrer Kinder </w:t>
      </w:r>
      <w:r w:rsidR="00B074CF" w:rsidRPr="00AC13AD">
        <w:t>–</w:t>
      </w:r>
      <w:r w:rsidRPr="00AC13AD">
        <w:t xml:space="preserve"> der</w:t>
      </w:r>
      <w:r w:rsidR="00B074CF" w:rsidRPr="00AC13AD">
        <w:t xml:space="preserve"> </w:t>
      </w:r>
      <w:r w:rsidRPr="00AC13AD">
        <w:t xml:space="preserve">schon geborenen oder zu erwartenden </w:t>
      </w:r>
      <w:r w:rsidR="00B074CF" w:rsidRPr="00AC13AD">
        <w:t>–</w:t>
      </w:r>
      <w:r w:rsidRPr="00AC13AD">
        <w:t xml:space="preserve"> achten; sie müssen die materiellen und geistigen Verhältnisse der Zeit und ihres Lebens zu erkennen suchen und schließlich auch das Wohl der Gesamtfamilie, der weltlichen Gesellschaft und der Kirche berücksicht</w:t>
      </w:r>
      <w:r w:rsidRPr="00AC13AD">
        <w:t>i</w:t>
      </w:r>
      <w:r w:rsidRPr="00AC13AD">
        <w:t>gen. Dieses Urteil müssen im Angesicht Gottes die Eheleute letztlich selbst fällen.</w:t>
      </w:r>
      <w:r w:rsidR="0088399E" w:rsidRPr="00AC13AD">
        <w:t>“</w:t>
      </w:r>
      <w:r w:rsidRPr="00AC13AD">
        <w:t xml:space="preserve"> (2. Vatikanisches Konzil, GS 50)</w:t>
      </w:r>
    </w:p>
  </w:footnote>
  <w:footnote w:id="25">
    <w:p w:rsidR="00866062" w:rsidRDefault="00866062" w:rsidP="00FB5FD6">
      <w:pPr>
        <w:pStyle w:val="Funotentext"/>
      </w:pPr>
      <w:r>
        <w:rPr>
          <w:rStyle w:val="Funotenzeichen"/>
        </w:rPr>
        <w:footnoteRef/>
      </w:r>
      <w:r>
        <w:t xml:space="preserve"> </w:t>
      </w:r>
      <w:r w:rsidR="0088399E">
        <w:t>„</w:t>
      </w:r>
      <w:r w:rsidR="00DE12BC">
        <w:t>Wo es sich um den Ausgleich zwischen ehelicher Liebe und verantwortlicher Weitergabe des L</w:t>
      </w:r>
      <w:r w:rsidR="00DE12BC">
        <w:t>e</w:t>
      </w:r>
      <w:r w:rsidR="00DE12BC">
        <w:t xml:space="preserve">bens handelt, hängt die sittliche Qualität der Handlungsweise nicht allein von der guten Absicht und Bewertung der Motive ab, </w:t>
      </w:r>
      <w:r w:rsidR="00DE12BC" w:rsidRPr="000D1FD5">
        <w:t>sondern auch von objektiven Kriterien, die sich aus dem Wesen der menschlichen Person und ihrer Akte ergeben und die sowohl den vollen Sinn gegenseitiger Hingabe als auch den einer wirklich humanen Zeugung in wirklicher Liebe wahren. Das ist nicht möglich ohne aufrichtigen Willen zur Übung der Tugend ehelicher Keuschheit. Von</w:t>
      </w:r>
      <w:r w:rsidR="00DE12BC">
        <w:t xml:space="preserve"> diesen Prinzipien her ist es den Kindern der Kirche nicht erlaubt, in der Geburtenregelung Wege zu beschreiten, die das Lehramt in Auslegung des göttlichen Gesetzes verwirft.</w:t>
      </w:r>
      <w:r w:rsidR="0088399E">
        <w:t>“</w:t>
      </w:r>
      <w:r w:rsidR="00DE12BC">
        <w:t xml:space="preserve"> (GS 51)</w:t>
      </w:r>
    </w:p>
  </w:footnote>
  <w:footnote w:id="26">
    <w:p w:rsidR="00D23F32" w:rsidRDefault="00D23F32" w:rsidP="00FB5FD6">
      <w:pPr>
        <w:pStyle w:val="Funotentext"/>
      </w:pPr>
      <w:r>
        <w:rPr>
          <w:rStyle w:val="Funotenzeichen"/>
        </w:rPr>
        <w:footnoteRef/>
      </w:r>
      <w:r>
        <w:t xml:space="preserve"> Im Hinblick auf pastorale Lösungen und Irrwege vgl. Giovanni B. </w:t>
      </w:r>
      <w:proofErr w:type="spellStart"/>
      <w:r>
        <w:t>Sala</w:t>
      </w:r>
      <w:proofErr w:type="spellEnd"/>
      <w:r>
        <w:t>, Vom Sinn und Unsinn einer „differenzierten“ Betrachtung in der Moral. Zu einer neuen Pastoral für wiederverheiratete Geschied</w:t>
      </w:r>
      <w:r>
        <w:t>e</w:t>
      </w:r>
      <w:r>
        <w:t xml:space="preserve">ne, in: </w:t>
      </w:r>
      <w:proofErr w:type="spellStart"/>
      <w:r>
        <w:t>ders</w:t>
      </w:r>
      <w:proofErr w:type="spellEnd"/>
      <w:r>
        <w:t>., Kontroverse Theologie. Ausgewählte theologische Schriften, Bonn 2005, 89-132.</w:t>
      </w:r>
    </w:p>
  </w:footnote>
  <w:footnote w:id="27">
    <w:p w:rsidR="0088399E" w:rsidRPr="0088399E" w:rsidRDefault="0088399E" w:rsidP="00FB5FD6">
      <w:r>
        <w:rPr>
          <w:rStyle w:val="Funotenzeichen"/>
        </w:rPr>
        <w:footnoteRef/>
      </w:r>
      <w:r>
        <w:t xml:space="preserve"> </w:t>
      </w:r>
      <w:r w:rsidRPr="0088399E">
        <w:t>Den kirchlichen Anspruch der Ehe als lebenslängliche Gemeinschaft bezeichnete</w:t>
      </w:r>
      <w:r>
        <w:t xml:space="preserve"> die </w:t>
      </w:r>
      <w:r w:rsidRPr="0088399E">
        <w:t xml:space="preserve">Psychoanalytikerin </w:t>
      </w:r>
      <w:r>
        <w:t xml:space="preserve">Rotraud Perner </w:t>
      </w:r>
      <w:r w:rsidRPr="0088399E">
        <w:t xml:space="preserve">in der jüngsten Ausgabe des Magazins </w:t>
      </w:r>
      <w:r>
        <w:t>„</w:t>
      </w:r>
      <w:proofErr w:type="spellStart"/>
      <w:r w:rsidRPr="0088399E">
        <w:t>i</w:t>
      </w:r>
      <w:r w:rsidRPr="0088399E">
        <w:t>n</w:t>
      </w:r>
      <w:r w:rsidRPr="0088399E">
        <w:t>puncto</w:t>
      </w:r>
      <w:proofErr w:type="spellEnd"/>
      <w:r>
        <w:t>“</w:t>
      </w:r>
      <w:r w:rsidRPr="0088399E">
        <w:t xml:space="preserve"> anlässlich der </w:t>
      </w:r>
      <w:r>
        <w:t>„</w:t>
      </w:r>
      <w:r w:rsidRPr="0088399E">
        <w:t>Langen Nacht der Kirchen</w:t>
      </w:r>
      <w:r>
        <w:t>“</w:t>
      </w:r>
      <w:r w:rsidRPr="0088399E">
        <w:t xml:space="preserve"> am 28. Mai </w:t>
      </w:r>
      <w:r>
        <w:t>2010</w:t>
      </w:r>
      <w:r w:rsidRPr="0088399E">
        <w:t xml:space="preserve"> als </w:t>
      </w:r>
      <w:r>
        <w:t>„</w:t>
      </w:r>
      <w:r w:rsidRPr="0088399E">
        <w:t>Würg</w:t>
      </w:r>
      <w:r w:rsidRPr="0088399E">
        <w:t>e</w:t>
      </w:r>
      <w:r w:rsidRPr="0088399E">
        <w:t>schnur</w:t>
      </w:r>
      <w:r>
        <w:t>“</w:t>
      </w:r>
      <w:r w:rsidRPr="0088399E">
        <w:t xml:space="preserve">. Historisch gesehen sollte der Anspruch verhindern, </w:t>
      </w:r>
      <w:r>
        <w:t>„</w:t>
      </w:r>
      <w:r w:rsidRPr="0088399E">
        <w:t xml:space="preserve">dass Männer nach Lust und Laune Frauen verlassen, die sie zuvor geschwängert hatten </w:t>
      </w:r>
      <w:r>
        <w:t>–</w:t>
      </w:r>
      <w:r w:rsidRPr="0088399E">
        <w:t xml:space="preserve"> was</w:t>
      </w:r>
      <w:r w:rsidR="00BA6B00">
        <w:t xml:space="preserve"> </w:t>
      </w:r>
      <w:r w:rsidRPr="0088399E">
        <w:t>sie heute ja tun</w:t>
      </w:r>
      <w:r>
        <w:t>“</w:t>
      </w:r>
      <w:r w:rsidRPr="0088399E">
        <w:t xml:space="preserve">. Die Formel </w:t>
      </w:r>
      <w:r>
        <w:t>„</w:t>
      </w:r>
      <w:r w:rsidRPr="0088399E">
        <w:t>Bis dass der Tod euch scheidet</w:t>
      </w:r>
      <w:r>
        <w:t>“</w:t>
      </w:r>
      <w:r w:rsidRPr="0088399E">
        <w:t xml:space="preserve"> sollte heute interpretiert werden als </w:t>
      </w:r>
      <w:r>
        <w:t>„</w:t>
      </w:r>
      <w:r w:rsidRPr="0088399E">
        <w:t>S</w:t>
      </w:r>
      <w:r w:rsidRPr="0088399E">
        <w:t>o</w:t>
      </w:r>
      <w:r w:rsidRPr="0088399E">
        <w:t>lange die Beziehung lebendig ist</w:t>
      </w:r>
      <w:r>
        <w:t>“</w:t>
      </w:r>
      <w:r w:rsidRPr="0088399E">
        <w:t xml:space="preserve">. Wenn die Beziehung aber tot sei, </w:t>
      </w:r>
      <w:r>
        <w:t xml:space="preserve">gehöre sie in Ehren bestattet.  – Vgl. </w:t>
      </w:r>
      <w:proofErr w:type="spellStart"/>
      <w:r>
        <w:t>Kathpress</w:t>
      </w:r>
      <w:proofErr w:type="spellEnd"/>
      <w:r>
        <w:t>, 19.05.2010.</w:t>
      </w:r>
    </w:p>
  </w:footnote>
  <w:footnote w:id="28">
    <w:p w:rsidR="00A5481B" w:rsidRDefault="00A5481B" w:rsidP="00FB5FD6">
      <w:pPr>
        <w:pStyle w:val="Funotentext"/>
      </w:pPr>
      <w:r>
        <w:rPr>
          <w:rStyle w:val="Funotenzeichen"/>
        </w:rPr>
        <w:footnoteRef/>
      </w:r>
      <w:r>
        <w:t xml:space="preserve"> Vgl. </w:t>
      </w:r>
      <w:r w:rsidRPr="00A2533D">
        <w:t xml:space="preserve">Angelo Cardinal Scola, </w:t>
      </w:r>
      <w:r>
        <w:t>Das hochzeitl</w:t>
      </w:r>
      <w:r w:rsidR="00660E31">
        <w:t xml:space="preserve">iche Geheimnis, Einsiedeln 2006; </w:t>
      </w:r>
      <w:r w:rsidR="00660E31" w:rsidRPr="00660E31">
        <w:t>Scott Hahn</w:t>
      </w:r>
      <w:r w:rsidR="00660E31">
        <w:t>,</w:t>
      </w:r>
      <w:r w:rsidR="00660E31" w:rsidRPr="00660E31">
        <w:t xml:space="preserve"> Gottes Bundestreue: Ein Va</w:t>
      </w:r>
      <w:r w:rsidR="00660E31">
        <w:t>ter, der seine Versprechen hält,</w:t>
      </w:r>
      <w:r w:rsidR="00660E31" w:rsidRPr="00660E31">
        <w:t xml:space="preserve"> Stein am Rhein 2004</w:t>
      </w:r>
      <w:r w:rsidR="00660E31">
        <w:t>.</w:t>
      </w:r>
    </w:p>
  </w:footnote>
  <w:footnote w:id="29">
    <w:p w:rsidR="00A949A0" w:rsidRPr="00A2533D" w:rsidRDefault="00A949A0" w:rsidP="00FB5FD6">
      <w:pPr>
        <w:pStyle w:val="Funotentext"/>
        <w:rPr>
          <w:lang w:val="en-GB"/>
        </w:rPr>
      </w:pPr>
      <w:r>
        <w:rPr>
          <w:rStyle w:val="Funotenzeichen"/>
        </w:rPr>
        <w:footnoteRef/>
      </w:r>
      <w:r w:rsidRPr="00A2533D">
        <w:rPr>
          <w:lang w:val="en-GB"/>
        </w:rPr>
        <w:t xml:space="preserve"> Johannes Paul II., </w:t>
      </w:r>
      <w:r w:rsidR="005B0F97" w:rsidRPr="00A2533D">
        <w:rPr>
          <w:lang w:val="en-GB"/>
        </w:rPr>
        <w:t>FC</w:t>
      </w:r>
      <w:r w:rsidRPr="00A2533D">
        <w:rPr>
          <w:lang w:val="en-GB"/>
        </w:rPr>
        <w:t xml:space="preserve"> 83.</w:t>
      </w:r>
    </w:p>
  </w:footnote>
  <w:footnote w:id="30">
    <w:p w:rsidR="002B6FED" w:rsidRPr="00A2533D" w:rsidRDefault="00E55895" w:rsidP="008B17BA">
      <w:pPr>
        <w:pStyle w:val="Funotentext"/>
        <w:jc w:val="left"/>
        <w:rPr>
          <w:lang w:val="en-GB"/>
        </w:rPr>
      </w:pPr>
      <w:r>
        <w:rPr>
          <w:rStyle w:val="Funotenzeichen"/>
        </w:rPr>
        <w:footnoteRef/>
      </w:r>
      <w:r w:rsidRPr="005B0F97">
        <w:rPr>
          <w:lang w:val="en-US"/>
        </w:rPr>
        <w:t xml:space="preserve"> Johannes Paul II., </w:t>
      </w:r>
      <w:r w:rsidR="005B0F97">
        <w:rPr>
          <w:lang w:val="en-US"/>
        </w:rPr>
        <w:t>FC</w:t>
      </w:r>
      <w:r w:rsidRPr="005B0F97">
        <w:rPr>
          <w:lang w:val="en-US"/>
        </w:rPr>
        <w:t xml:space="preserve"> 84. </w:t>
      </w:r>
      <w:r w:rsidRPr="00E55895">
        <w:t xml:space="preserve">Vgl. </w:t>
      </w:r>
      <w:r w:rsidR="002B6FED">
        <w:t xml:space="preserve">Kongregation für die Glaubenslehre, </w:t>
      </w:r>
      <w:r w:rsidR="002B6FED" w:rsidRPr="00140B2B">
        <w:t>Schreiben an die Bischöfe der katholischen Kirche über die Zulassung wiederverheirateter Geschiedener zum Kommunionempfang</w:t>
      </w:r>
      <w:r w:rsidR="002B6FED">
        <w:t xml:space="preserve"> vom 14. </w:t>
      </w:r>
      <w:r w:rsidR="008B17BA">
        <w:rPr>
          <w:lang w:val="en-GB"/>
        </w:rPr>
        <w:t xml:space="preserve">September 1994, </w:t>
      </w:r>
      <w:hyperlink r:id="rId6" w:history="1">
        <w:r w:rsidR="002B6FED" w:rsidRPr="00A2533D">
          <w:rPr>
            <w:rStyle w:val="Hyperlink"/>
            <w:color w:val="auto"/>
            <w:u w:val="none"/>
            <w:lang w:val="en-GB"/>
          </w:rPr>
          <w:t>http://www.vatican.va/roman_curia/congregations/cfaith/documents/rc_con_cfaith_doc_14091994_rec-holy-comm-by-divorced_ge.html</w:t>
        </w:r>
      </w:hyperlink>
      <w:r w:rsidR="002B6FED" w:rsidRPr="00A2533D">
        <w:rPr>
          <w:rStyle w:val="Hyperlink"/>
          <w:color w:val="auto"/>
          <w:u w:val="none"/>
          <w:lang w:val="en-GB"/>
        </w:rPr>
        <w:t xml:space="preserve"> .</w:t>
      </w:r>
    </w:p>
  </w:footnote>
  <w:footnote w:id="31">
    <w:p w:rsidR="00C25BF4" w:rsidRDefault="00C25BF4" w:rsidP="008B17BA">
      <w:pPr>
        <w:pStyle w:val="Funotentext"/>
        <w:jc w:val="left"/>
      </w:pPr>
      <w:r>
        <w:rPr>
          <w:rStyle w:val="Funotenzeichen"/>
        </w:rPr>
        <w:footnoteRef/>
      </w:r>
      <w:r>
        <w:t xml:space="preserve"> Zum Ablauf des kirchlichen Ehenichtigkeitsverfahrens vgl. Päpstlicher Rat für die Gesetzestexte, Instruktion „</w:t>
      </w:r>
      <w:proofErr w:type="spellStart"/>
      <w:r>
        <w:t>Dignitas</w:t>
      </w:r>
      <w:proofErr w:type="spellEnd"/>
      <w:r>
        <w:t xml:space="preserve"> </w:t>
      </w:r>
      <w:proofErr w:type="spellStart"/>
      <w:r>
        <w:t>connubii</w:t>
      </w:r>
      <w:proofErr w:type="spellEnd"/>
      <w:r>
        <w:t xml:space="preserve">“ vom 25. Januar 2005, Vatikan 2005, </w:t>
      </w:r>
      <w:hyperlink r:id="rId7" w:history="1">
        <w:r w:rsidRPr="00C25BF4">
          <w:rPr>
            <w:rStyle w:val="Hyperlink"/>
            <w:color w:val="auto"/>
            <w:u w:val="none"/>
          </w:rPr>
          <w:t>http://www.vatican.va/roman_curia/pontifical_councils/intrptxt/documents/rc_pc_intrptxt_doc_20050125_dignitas-connubii_ge.html</w:t>
        </w:r>
      </w:hyperlink>
      <w:r w:rsidRPr="00C25BF4">
        <w:t xml:space="preserve"> .</w:t>
      </w:r>
    </w:p>
  </w:footnote>
  <w:footnote w:id="32">
    <w:p w:rsidR="00E45C13" w:rsidRPr="00E45C13" w:rsidRDefault="00E45C13" w:rsidP="00FB5FD6">
      <w:pPr>
        <w:pStyle w:val="Funotentext"/>
      </w:pPr>
      <w:r>
        <w:rPr>
          <w:rStyle w:val="Funotenzeichen"/>
        </w:rPr>
        <w:footnoteRef/>
      </w:r>
      <w:r>
        <w:t xml:space="preserve"> Vgl. Österreichische Bischofskonferenz, Orientierungshilfe in der Pastoral für geschiedene und wi</w:t>
      </w:r>
      <w:r>
        <w:t>e</w:t>
      </w:r>
      <w:r>
        <w:t xml:space="preserve">derverheiratete geschiedene Gläubige, </w:t>
      </w:r>
      <w:proofErr w:type="spellStart"/>
      <w:r>
        <w:t>hg</w:t>
      </w:r>
      <w:proofErr w:type="spellEnd"/>
      <w:r>
        <w:t xml:space="preserve">. </w:t>
      </w:r>
      <w:r w:rsidRPr="00E45C13">
        <w:t>von Bischof Klaus Küng und von der Glaubenskongregat</w:t>
      </w:r>
      <w:r w:rsidRPr="00E45C13">
        <w:t>i</w:t>
      </w:r>
      <w:r w:rsidRPr="00E45C13">
        <w:t xml:space="preserve">on approbiert, Wien 2002, </w:t>
      </w:r>
      <w:hyperlink r:id="rId8" w:history="1">
        <w:r w:rsidRPr="00E45C13">
          <w:rPr>
            <w:rStyle w:val="Hyperlink"/>
            <w:color w:val="auto"/>
            <w:u w:val="none"/>
          </w:rPr>
          <w:t>http://www.hauskirche.at/dokumente/wg-pastoral.htm</w:t>
        </w:r>
      </w:hyperlink>
      <w:r w:rsidRPr="00E45C13">
        <w:t xml:space="preserve"> .</w:t>
      </w:r>
    </w:p>
  </w:footnote>
  <w:footnote w:id="33">
    <w:p w:rsidR="00E55895" w:rsidRPr="00A2533D" w:rsidRDefault="00E55895" w:rsidP="00FB5FD6">
      <w:pPr>
        <w:pStyle w:val="Funotentext"/>
        <w:rPr>
          <w:lang w:val="en-GB"/>
        </w:rPr>
      </w:pPr>
      <w:r>
        <w:rPr>
          <w:rStyle w:val="Funotenzeichen"/>
        </w:rPr>
        <w:footnoteRef/>
      </w:r>
      <w:r w:rsidRPr="00A2533D">
        <w:rPr>
          <w:lang w:val="en-GB"/>
        </w:rPr>
        <w:t xml:space="preserve"> Johannes Paul II., </w:t>
      </w:r>
      <w:r w:rsidR="005B0F97" w:rsidRPr="00A2533D">
        <w:rPr>
          <w:lang w:val="en-GB"/>
        </w:rPr>
        <w:t>FC</w:t>
      </w:r>
      <w:r w:rsidR="00140B2B" w:rsidRPr="00A2533D">
        <w:rPr>
          <w:lang w:val="en-GB"/>
        </w:rPr>
        <w:t xml:space="preserve"> 84.</w:t>
      </w:r>
    </w:p>
  </w:footnote>
  <w:footnote w:id="34">
    <w:p w:rsidR="00E55895" w:rsidRPr="00A2533D" w:rsidRDefault="00E55895" w:rsidP="00FB5FD6">
      <w:pPr>
        <w:pStyle w:val="Funotentext"/>
        <w:rPr>
          <w:lang w:val="en-GB"/>
        </w:rPr>
      </w:pPr>
      <w:r>
        <w:rPr>
          <w:rStyle w:val="Funotenzeichen"/>
        </w:rPr>
        <w:footnoteRef/>
      </w:r>
      <w:r w:rsidRPr="00A2533D">
        <w:rPr>
          <w:lang w:val="en-GB"/>
        </w:rPr>
        <w:t xml:space="preserve"> </w:t>
      </w:r>
      <w:proofErr w:type="spellStart"/>
      <w:r w:rsidR="002B6FED" w:rsidRPr="00A2533D">
        <w:rPr>
          <w:lang w:val="en-GB"/>
        </w:rPr>
        <w:t>Ebd</w:t>
      </w:r>
      <w:proofErr w:type="spellEnd"/>
      <w:r w:rsidR="002B6FED" w:rsidRPr="00A2533D">
        <w:rPr>
          <w:lang w:val="en-GB"/>
        </w:rPr>
        <w:t>.</w:t>
      </w:r>
    </w:p>
  </w:footnote>
  <w:footnote w:id="35">
    <w:p w:rsidR="00D26F45" w:rsidRDefault="00D26F45" w:rsidP="008B17BA">
      <w:pPr>
        <w:pStyle w:val="Funotentext"/>
        <w:jc w:val="left"/>
      </w:pPr>
      <w:r>
        <w:rPr>
          <w:rStyle w:val="Funotenzeichen"/>
        </w:rPr>
        <w:footnoteRef/>
      </w:r>
      <w:r>
        <w:t xml:space="preserve"> „Die leibliche und sexuelle Gemeinschaft ist etwas Großes und Schönes. Sie ist aber nur dann voll menschenwürdig, wenn sie in eine </w:t>
      </w:r>
      <w:r w:rsidRPr="00786CCD">
        <w:t>personale, von der bürgerlichen und kirchlichen Gemeinschaft anerkannte Bindung integriert ist. Volle Geschlechtsgemeinschaft zwischen Mann und Frau hat darum ihren legitimen Ort allein innerhalb der ausschließlichen und endgültigen personalen Treuebindung in der Ehe“ (Johannes Paul II., Predigt am 15. November 1980 in Köln</w:t>
      </w:r>
      <w:r w:rsidR="00163063" w:rsidRPr="00786CCD">
        <w:t xml:space="preserve">). Vgl. auch Kongregation für die Glaubenslehre, Erklärung zu einigen Fragen der Sexualethik „Persona </w:t>
      </w:r>
      <w:proofErr w:type="spellStart"/>
      <w:r w:rsidR="00163063" w:rsidRPr="00786CCD">
        <w:t>humana</w:t>
      </w:r>
      <w:proofErr w:type="spellEnd"/>
      <w:r w:rsidR="00163063">
        <w:t xml:space="preserve">“ vom 29. Dezember </w:t>
      </w:r>
      <w:r w:rsidR="00163063" w:rsidRPr="0030330D">
        <w:t>1975</w:t>
      </w:r>
      <w:r w:rsidR="00BB3308">
        <w:t xml:space="preserve"> (Verlautbarungen des Apostolischen Stuhls 1)</w:t>
      </w:r>
      <w:r w:rsidR="00163063" w:rsidRPr="0030330D">
        <w:t>, Nr. 5</w:t>
      </w:r>
      <w:r w:rsidR="0030330D" w:rsidRPr="0030330D">
        <w:t xml:space="preserve">, </w:t>
      </w:r>
      <w:hyperlink r:id="rId9" w:history="1">
        <w:r w:rsidR="0030330D" w:rsidRPr="0030330D">
          <w:rPr>
            <w:rStyle w:val="Hyperlink"/>
            <w:color w:val="auto"/>
            <w:u w:val="none"/>
          </w:rPr>
          <w:t>http://stjosef.at/dokumente/persona_humana.htm</w:t>
        </w:r>
      </w:hyperlink>
      <w:r w:rsidR="0030330D" w:rsidRPr="0030330D">
        <w:t xml:space="preserve"> </w:t>
      </w:r>
      <w:r w:rsidR="00163063" w:rsidRPr="0030330D">
        <w:t>: „</w:t>
      </w:r>
      <w:r w:rsidR="00163063" w:rsidRPr="0030330D">
        <w:rPr>
          <w:rFonts w:cs="Arial"/>
          <w:lang w:val="de-DE"/>
        </w:rPr>
        <w:t xml:space="preserve">Derselbe Grundsatz, dass die Kirche </w:t>
      </w:r>
      <w:r w:rsidR="00163063">
        <w:rPr>
          <w:rFonts w:cs="Arial"/>
          <w:lang w:val="de-DE"/>
        </w:rPr>
        <w:t>aus der göt</w:t>
      </w:r>
      <w:r w:rsidR="00163063">
        <w:rPr>
          <w:rFonts w:cs="Arial"/>
          <w:lang w:val="de-DE"/>
        </w:rPr>
        <w:t>t</w:t>
      </w:r>
      <w:r w:rsidR="00163063">
        <w:rPr>
          <w:rFonts w:cs="Arial"/>
          <w:lang w:val="de-DE"/>
        </w:rPr>
        <w:t>lichen Offenbarung und der eigenen authentischen Interpretation des Naturgesetzes schöpft, begrü</w:t>
      </w:r>
      <w:r w:rsidR="00163063">
        <w:rPr>
          <w:rFonts w:cs="Arial"/>
          <w:lang w:val="de-DE"/>
        </w:rPr>
        <w:t>n</w:t>
      </w:r>
      <w:r w:rsidR="00163063">
        <w:rPr>
          <w:rFonts w:cs="Arial"/>
          <w:lang w:val="de-DE"/>
        </w:rPr>
        <w:t>det auch ihre traditionelle Lehre, nach der der Ge</w:t>
      </w:r>
      <w:r w:rsidR="00163063">
        <w:rPr>
          <w:rFonts w:cs="Arial"/>
          <w:lang w:val="de-DE"/>
        </w:rPr>
        <w:softHyphen/>
        <w:t>brauch der Geschlechtskraft nur in der rechtsgültigen Ehe seinen wah</w:t>
      </w:r>
      <w:r w:rsidR="00163063">
        <w:rPr>
          <w:rFonts w:cs="Arial"/>
          <w:lang w:val="de-DE"/>
        </w:rPr>
        <w:softHyphen/>
        <w:t>ren Sinn und seine sittliche Rechtmäßigkeit erhält.“</w:t>
      </w:r>
    </w:p>
  </w:footnote>
  <w:footnote w:id="36">
    <w:p w:rsidR="007E5A3B" w:rsidRDefault="007E5A3B" w:rsidP="00FB5FD6">
      <w:pPr>
        <w:pStyle w:val="Funotentext"/>
      </w:pPr>
      <w:r>
        <w:rPr>
          <w:rStyle w:val="Funotenzeichen"/>
        </w:rPr>
        <w:footnoteRef/>
      </w:r>
      <w:r>
        <w:t xml:space="preserve"> Vgl. KKK 2384: „Die Ehescheidung </w:t>
      </w:r>
      <w:r w:rsidR="008F1655">
        <w:t>missachtet</w:t>
      </w:r>
      <w:r>
        <w:t xml:space="preserve"> den Bund des Heiles, dessen Zeichen die sakrame</w:t>
      </w:r>
      <w:r>
        <w:t>n</w:t>
      </w:r>
      <w:r>
        <w:t xml:space="preserve">tale Ehe ist. Das Eingehen einer, wenn auch vom Zivilrecht anerkannten, neuen Verbindung verstärkt den Bruch noch zusätzlich. </w:t>
      </w:r>
      <w:r w:rsidRPr="00786CCD">
        <w:t>Der Ehepartner, der sich wieder verheiratet hat, befindet sich dann in e</w:t>
      </w:r>
      <w:r w:rsidRPr="00786CCD">
        <w:t>i</w:t>
      </w:r>
      <w:r w:rsidRPr="00786CCD">
        <w:t>nem dauernden, öffentlichen Ehebruch.“</w:t>
      </w:r>
    </w:p>
  </w:footnote>
  <w:footnote w:id="37">
    <w:p w:rsidR="006D50B2" w:rsidRDefault="006D50B2" w:rsidP="00FB5FD6">
      <w:pPr>
        <w:pStyle w:val="Funotentext"/>
      </w:pPr>
      <w:r>
        <w:rPr>
          <w:rStyle w:val="Funotenzeichen"/>
        </w:rPr>
        <w:footnoteRef/>
      </w:r>
      <w:r w:rsidR="008F1655">
        <w:t xml:space="preserve"> „</w:t>
      </w:r>
      <w:r w:rsidR="008F1655" w:rsidRPr="008F1655">
        <w:rPr>
          <w:rFonts w:eastAsiaTheme="minorHAnsi"/>
          <w:lang w:eastAsia="en-US" w:bidi="he-IL"/>
        </w:rPr>
        <w:t>Wer also unwürdig von dem Brot isst und aus dem Kelch des Herrn trinkt, macht sich schuldig am Leib und am Blut des Herrn. Jeder soll sich selbst prüfen; erst dann soll er von dem Brot essen und aus dem Kelch trinken.” (1 Kor 11,27-28)</w:t>
      </w:r>
    </w:p>
  </w:footnote>
  <w:footnote w:id="38">
    <w:p w:rsidR="005B0F97" w:rsidRPr="005B0F97" w:rsidRDefault="005B0F97" w:rsidP="00FB5FD6">
      <w:pPr>
        <w:pStyle w:val="Funotentext"/>
      </w:pPr>
      <w:r>
        <w:rPr>
          <w:rStyle w:val="Funotenzeichen"/>
        </w:rPr>
        <w:footnoteRef/>
      </w:r>
      <w:r>
        <w:t xml:space="preserve"> Vgl. auch Wilhelm Rees, Scheidung und Wiederheirat und die (</w:t>
      </w:r>
      <w:proofErr w:type="spellStart"/>
      <w:r>
        <w:t>Un</w:t>
      </w:r>
      <w:proofErr w:type="spellEnd"/>
      <w:r>
        <w:t xml:space="preserve">-)Möglichkeit einer liturgischen Feier. Anmerkungen aus kirchenrechtlicher Sicht, in: </w:t>
      </w:r>
      <w:proofErr w:type="spellStart"/>
      <w:r w:rsidRPr="005B0F97">
        <w:t>forum</w:t>
      </w:r>
      <w:proofErr w:type="spellEnd"/>
      <w:r w:rsidRPr="005B0F97">
        <w:t xml:space="preserve"> </w:t>
      </w:r>
      <w:proofErr w:type="spellStart"/>
      <w:r w:rsidRPr="005B0F97">
        <w:t>i</w:t>
      </w:r>
      <w:r>
        <w:t>uridicum</w:t>
      </w:r>
      <w:proofErr w:type="spellEnd"/>
      <w:r>
        <w:t xml:space="preserve">, Warschau 2 (2003), 189-207, </w:t>
      </w:r>
      <w:hyperlink r:id="rId10" w:history="1">
        <w:r w:rsidRPr="005B0F97">
          <w:rPr>
            <w:rStyle w:val="Hyperlink"/>
            <w:color w:val="auto"/>
            <w:u w:val="none"/>
          </w:rPr>
          <w:t>http://www.uibk.ac.at/theol/leseraum/texte/322.html</w:t>
        </w:r>
      </w:hyperlink>
      <w:r w:rsidRPr="005B0F97">
        <w:t xml:space="preserve"> </w:t>
      </w:r>
      <w:r>
        <w:t>.</w:t>
      </w:r>
    </w:p>
  </w:footnote>
  <w:footnote w:id="39">
    <w:p w:rsidR="00E55895" w:rsidRPr="007E5A3B" w:rsidRDefault="00E55895" w:rsidP="00FB5FD6">
      <w:pPr>
        <w:pStyle w:val="Funotentext"/>
      </w:pPr>
      <w:r>
        <w:rPr>
          <w:rStyle w:val="Funotenzeichen"/>
        </w:rPr>
        <w:footnoteRef/>
      </w:r>
      <w:r w:rsidRPr="007E5A3B">
        <w:t xml:space="preserve"> </w:t>
      </w:r>
      <w:r w:rsidR="005B0F97">
        <w:t>Johannes Paul II., FC 84.</w:t>
      </w:r>
    </w:p>
  </w:footnote>
  <w:footnote w:id="40">
    <w:p w:rsidR="00E54ED9" w:rsidRDefault="00E54ED9" w:rsidP="00FB5FD6">
      <w:pPr>
        <w:pStyle w:val="Funotentext"/>
      </w:pPr>
      <w:r>
        <w:rPr>
          <w:rStyle w:val="Funotenzeichen"/>
        </w:rPr>
        <w:footnoteRef/>
      </w:r>
      <w:r>
        <w:t xml:space="preserve"> Vgl. </w:t>
      </w:r>
      <w:proofErr w:type="spellStart"/>
      <w:r>
        <w:t>can</w:t>
      </w:r>
      <w:proofErr w:type="spellEnd"/>
      <w:r>
        <w:t>. 1379 CIC: „Wer … eine Sakramentenspendung vortäuscht, soll mit einer gerechten Strafe belegt werden.“</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15D"/>
    <w:multiLevelType w:val="hybridMultilevel"/>
    <w:tmpl w:val="06C872CC"/>
    <w:lvl w:ilvl="0" w:tplc="574EA06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805D7F"/>
    <w:multiLevelType w:val="hybridMultilevel"/>
    <w:tmpl w:val="5AEEF6B2"/>
    <w:lvl w:ilvl="0" w:tplc="D98085A4">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07C04A7"/>
    <w:multiLevelType w:val="hybridMultilevel"/>
    <w:tmpl w:val="821AAEA0"/>
    <w:lvl w:ilvl="0" w:tplc="00C038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BD8C29CE">
      <w:start w:val="5"/>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8270DDF"/>
    <w:multiLevelType w:val="hybridMultilevel"/>
    <w:tmpl w:val="2DA46BDC"/>
    <w:lvl w:ilvl="0" w:tplc="C6A68B0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DDB606F"/>
    <w:multiLevelType w:val="hybridMultilevel"/>
    <w:tmpl w:val="0322764A"/>
    <w:lvl w:ilvl="0" w:tplc="A5321AD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E044E0E"/>
    <w:multiLevelType w:val="hybridMultilevel"/>
    <w:tmpl w:val="9830FD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14"/>
    <w:rsid w:val="00030F7D"/>
    <w:rsid w:val="000743A3"/>
    <w:rsid w:val="00074AAA"/>
    <w:rsid w:val="0009028C"/>
    <w:rsid w:val="00094B84"/>
    <w:rsid w:val="000B0814"/>
    <w:rsid w:val="000D1FD5"/>
    <w:rsid w:val="000E2E87"/>
    <w:rsid w:val="000E35B2"/>
    <w:rsid w:val="000E5DF3"/>
    <w:rsid w:val="000F12C8"/>
    <w:rsid w:val="000F3103"/>
    <w:rsid w:val="000F4614"/>
    <w:rsid w:val="0013592C"/>
    <w:rsid w:val="00140B2B"/>
    <w:rsid w:val="00160246"/>
    <w:rsid w:val="00163063"/>
    <w:rsid w:val="00171ADB"/>
    <w:rsid w:val="0017222F"/>
    <w:rsid w:val="0018610C"/>
    <w:rsid w:val="001A3887"/>
    <w:rsid w:val="001E6E2D"/>
    <w:rsid w:val="001E73F0"/>
    <w:rsid w:val="001F04B1"/>
    <w:rsid w:val="001F425F"/>
    <w:rsid w:val="002040E5"/>
    <w:rsid w:val="00215FF1"/>
    <w:rsid w:val="00222D9C"/>
    <w:rsid w:val="00247D2C"/>
    <w:rsid w:val="002520F3"/>
    <w:rsid w:val="00252250"/>
    <w:rsid w:val="0026078E"/>
    <w:rsid w:val="00283EFA"/>
    <w:rsid w:val="002B6B85"/>
    <w:rsid w:val="002B6FED"/>
    <w:rsid w:val="002C2F6E"/>
    <w:rsid w:val="002D0AA0"/>
    <w:rsid w:val="002E1B5A"/>
    <w:rsid w:val="002F1711"/>
    <w:rsid w:val="002F2142"/>
    <w:rsid w:val="0030330D"/>
    <w:rsid w:val="003158D8"/>
    <w:rsid w:val="00327332"/>
    <w:rsid w:val="00351038"/>
    <w:rsid w:val="00365627"/>
    <w:rsid w:val="00385ED8"/>
    <w:rsid w:val="00397631"/>
    <w:rsid w:val="003A2A98"/>
    <w:rsid w:val="003B5DE8"/>
    <w:rsid w:val="003C171B"/>
    <w:rsid w:val="003E1124"/>
    <w:rsid w:val="003F26AE"/>
    <w:rsid w:val="00420B22"/>
    <w:rsid w:val="00495F7F"/>
    <w:rsid w:val="004A51E7"/>
    <w:rsid w:val="004C0F67"/>
    <w:rsid w:val="004F75B9"/>
    <w:rsid w:val="00512BFE"/>
    <w:rsid w:val="0051351F"/>
    <w:rsid w:val="00525C3D"/>
    <w:rsid w:val="00553C57"/>
    <w:rsid w:val="00577137"/>
    <w:rsid w:val="00580C9D"/>
    <w:rsid w:val="005B0F97"/>
    <w:rsid w:val="005B6B03"/>
    <w:rsid w:val="005C2AB5"/>
    <w:rsid w:val="005D5124"/>
    <w:rsid w:val="006059E5"/>
    <w:rsid w:val="00612E0C"/>
    <w:rsid w:val="006138D9"/>
    <w:rsid w:val="00627E33"/>
    <w:rsid w:val="00636C85"/>
    <w:rsid w:val="00660E31"/>
    <w:rsid w:val="0068133C"/>
    <w:rsid w:val="00683CE7"/>
    <w:rsid w:val="006B374C"/>
    <w:rsid w:val="006B45B3"/>
    <w:rsid w:val="006B5994"/>
    <w:rsid w:val="006C776E"/>
    <w:rsid w:val="006D295E"/>
    <w:rsid w:val="006D50B2"/>
    <w:rsid w:val="006E0BEC"/>
    <w:rsid w:val="006F659B"/>
    <w:rsid w:val="007174A1"/>
    <w:rsid w:val="007358CE"/>
    <w:rsid w:val="007763E0"/>
    <w:rsid w:val="00786CCD"/>
    <w:rsid w:val="007B2055"/>
    <w:rsid w:val="007E5A3B"/>
    <w:rsid w:val="00811A95"/>
    <w:rsid w:val="00822945"/>
    <w:rsid w:val="0082523F"/>
    <w:rsid w:val="00857882"/>
    <w:rsid w:val="0086401B"/>
    <w:rsid w:val="00866062"/>
    <w:rsid w:val="00871FA2"/>
    <w:rsid w:val="0088399E"/>
    <w:rsid w:val="00883D98"/>
    <w:rsid w:val="00890D60"/>
    <w:rsid w:val="0089795B"/>
    <w:rsid w:val="008B02E5"/>
    <w:rsid w:val="008B17BA"/>
    <w:rsid w:val="008D0DC2"/>
    <w:rsid w:val="008D4543"/>
    <w:rsid w:val="008F0CAC"/>
    <w:rsid w:val="008F1655"/>
    <w:rsid w:val="009030E1"/>
    <w:rsid w:val="00916F28"/>
    <w:rsid w:val="00921128"/>
    <w:rsid w:val="009367A0"/>
    <w:rsid w:val="00962636"/>
    <w:rsid w:val="00970742"/>
    <w:rsid w:val="009B1B45"/>
    <w:rsid w:val="009B74BF"/>
    <w:rsid w:val="009C5A77"/>
    <w:rsid w:val="009E2781"/>
    <w:rsid w:val="009F1EB2"/>
    <w:rsid w:val="00A00DBF"/>
    <w:rsid w:val="00A105E8"/>
    <w:rsid w:val="00A2533D"/>
    <w:rsid w:val="00A5481B"/>
    <w:rsid w:val="00A655E2"/>
    <w:rsid w:val="00A72E87"/>
    <w:rsid w:val="00A753ED"/>
    <w:rsid w:val="00A83CEE"/>
    <w:rsid w:val="00A947C6"/>
    <w:rsid w:val="00A949A0"/>
    <w:rsid w:val="00A97DE2"/>
    <w:rsid w:val="00AA49C0"/>
    <w:rsid w:val="00AC13AD"/>
    <w:rsid w:val="00AD22C4"/>
    <w:rsid w:val="00AD3F6F"/>
    <w:rsid w:val="00AE4B46"/>
    <w:rsid w:val="00B074CF"/>
    <w:rsid w:val="00B11D4F"/>
    <w:rsid w:val="00B149B2"/>
    <w:rsid w:val="00B22320"/>
    <w:rsid w:val="00B30C52"/>
    <w:rsid w:val="00B646CC"/>
    <w:rsid w:val="00BA6B00"/>
    <w:rsid w:val="00BB3308"/>
    <w:rsid w:val="00BE65C9"/>
    <w:rsid w:val="00BF40D2"/>
    <w:rsid w:val="00BF47BD"/>
    <w:rsid w:val="00C2544E"/>
    <w:rsid w:val="00C25BF4"/>
    <w:rsid w:val="00C53B49"/>
    <w:rsid w:val="00C55E44"/>
    <w:rsid w:val="00C57D84"/>
    <w:rsid w:val="00CA23C7"/>
    <w:rsid w:val="00CA4269"/>
    <w:rsid w:val="00CA6CE6"/>
    <w:rsid w:val="00CC4EFA"/>
    <w:rsid w:val="00CD7178"/>
    <w:rsid w:val="00CE083B"/>
    <w:rsid w:val="00CE1CBD"/>
    <w:rsid w:val="00CE489B"/>
    <w:rsid w:val="00D20CDA"/>
    <w:rsid w:val="00D22F0C"/>
    <w:rsid w:val="00D23F32"/>
    <w:rsid w:val="00D2503B"/>
    <w:rsid w:val="00D26F45"/>
    <w:rsid w:val="00D30D8F"/>
    <w:rsid w:val="00D44578"/>
    <w:rsid w:val="00D457F7"/>
    <w:rsid w:val="00D673D1"/>
    <w:rsid w:val="00D711FB"/>
    <w:rsid w:val="00D86BDC"/>
    <w:rsid w:val="00DA3D9B"/>
    <w:rsid w:val="00DB4D2D"/>
    <w:rsid w:val="00DC75DC"/>
    <w:rsid w:val="00DD4F58"/>
    <w:rsid w:val="00DD56DE"/>
    <w:rsid w:val="00DE12BC"/>
    <w:rsid w:val="00E2048A"/>
    <w:rsid w:val="00E260E4"/>
    <w:rsid w:val="00E271E7"/>
    <w:rsid w:val="00E45C13"/>
    <w:rsid w:val="00E54ED9"/>
    <w:rsid w:val="00E55895"/>
    <w:rsid w:val="00E57C70"/>
    <w:rsid w:val="00E6732A"/>
    <w:rsid w:val="00E703BB"/>
    <w:rsid w:val="00E97B18"/>
    <w:rsid w:val="00EF08D6"/>
    <w:rsid w:val="00EF3CA8"/>
    <w:rsid w:val="00EF520C"/>
    <w:rsid w:val="00F11A4D"/>
    <w:rsid w:val="00F1541A"/>
    <w:rsid w:val="00F5686A"/>
    <w:rsid w:val="00F62CA7"/>
    <w:rsid w:val="00F66A40"/>
    <w:rsid w:val="00FB1FB7"/>
    <w:rsid w:val="00FB4B88"/>
    <w:rsid w:val="00FB5FD6"/>
    <w:rsid w:val="00FD5063"/>
    <w:rsid w:val="00FE4216"/>
    <w:rsid w:val="00FE76E8"/>
    <w:rsid w:val="00FF21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FD6"/>
    <w:pPr>
      <w:spacing w:after="120" w:line="240" w:lineRule="auto"/>
      <w:jc w:val="both"/>
    </w:pPr>
    <w:rPr>
      <w:rFonts w:ascii="Arial" w:eastAsia="Times New Roman" w:hAnsi="Arial" w:cs="Times New Roman"/>
      <w:sz w:val="24"/>
      <w:szCs w:val="24"/>
      <w:lang w:eastAsia="de-AT"/>
    </w:rPr>
  </w:style>
  <w:style w:type="paragraph" w:styleId="berschrift1">
    <w:name w:val="heading 1"/>
    <w:basedOn w:val="Standard"/>
    <w:next w:val="Standard"/>
    <w:link w:val="berschrift1Zchn"/>
    <w:uiPriority w:val="9"/>
    <w:qFormat/>
    <w:rsid w:val="00D25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57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614"/>
    <w:pPr>
      <w:ind w:left="720"/>
      <w:contextualSpacing/>
    </w:pPr>
  </w:style>
  <w:style w:type="paragraph" w:styleId="Titel">
    <w:name w:val="Title"/>
    <w:basedOn w:val="Standard"/>
    <w:next w:val="Standard"/>
    <w:link w:val="TitelZchn"/>
    <w:uiPriority w:val="10"/>
    <w:qFormat/>
    <w:rsid w:val="000F46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461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2503B"/>
    <w:rPr>
      <w:rFonts w:asciiTheme="majorHAnsi" w:eastAsiaTheme="majorEastAsia" w:hAnsiTheme="majorHAnsi" w:cstheme="majorBidi"/>
      <w:b/>
      <w:bCs/>
      <w:color w:val="365F91" w:themeColor="accent1" w:themeShade="BF"/>
      <w:sz w:val="28"/>
      <w:szCs w:val="28"/>
      <w:lang w:eastAsia="de-AT"/>
    </w:rPr>
  </w:style>
  <w:style w:type="paragraph" w:styleId="Funotentext">
    <w:name w:val="footnote text"/>
    <w:basedOn w:val="Standard"/>
    <w:link w:val="FunotentextZchn"/>
    <w:unhideWhenUsed/>
    <w:rsid w:val="00385ED8"/>
    <w:pPr>
      <w:spacing w:after="0"/>
    </w:pPr>
    <w:rPr>
      <w:sz w:val="20"/>
      <w:szCs w:val="20"/>
    </w:rPr>
  </w:style>
  <w:style w:type="character" w:customStyle="1" w:styleId="FunotentextZchn">
    <w:name w:val="Fußnotentext Zchn"/>
    <w:basedOn w:val="Absatz-Standardschriftart"/>
    <w:link w:val="Funotentext"/>
    <w:rsid w:val="00385ED8"/>
    <w:rPr>
      <w:sz w:val="20"/>
      <w:szCs w:val="20"/>
    </w:rPr>
  </w:style>
  <w:style w:type="character" w:styleId="Funotenzeichen">
    <w:name w:val="footnote reference"/>
    <w:basedOn w:val="Absatz-Standardschriftart"/>
    <w:semiHidden/>
    <w:unhideWhenUsed/>
    <w:rsid w:val="00385ED8"/>
    <w:rPr>
      <w:vertAlign w:val="superscript"/>
    </w:rPr>
  </w:style>
  <w:style w:type="character" w:customStyle="1" w:styleId="berschrift2Zchn">
    <w:name w:val="Überschrift 2 Zchn"/>
    <w:basedOn w:val="Absatz-Standardschriftart"/>
    <w:link w:val="berschrift2"/>
    <w:uiPriority w:val="9"/>
    <w:rsid w:val="00857882"/>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nhideWhenUsed/>
    <w:rsid w:val="00E55895"/>
    <w:rPr>
      <w:color w:val="0000FF"/>
      <w:u w:val="single"/>
    </w:rPr>
  </w:style>
  <w:style w:type="paragraph" w:styleId="Untertitel">
    <w:name w:val="Subtitle"/>
    <w:basedOn w:val="Standard"/>
    <w:next w:val="Standard"/>
    <w:link w:val="UntertitelZchn"/>
    <w:uiPriority w:val="11"/>
    <w:qFormat/>
    <w:rsid w:val="00D2503B"/>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D2503B"/>
    <w:rPr>
      <w:rFonts w:asciiTheme="majorHAnsi" w:eastAsiaTheme="majorEastAsia" w:hAnsiTheme="majorHAnsi" w:cstheme="majorBidi"/>
      <w:i/>
      <w:iCs/>
      <w:color w:val="4F81BD" w:themeColor="accent1"/>
      <w:spacing w:val="15"/>
      <w:sz w:val="24"/>
      <w:szCs w:val="24"/>
      <w:lang w:eastAsia="de-AT"/>
    </w:rPr>
  </w:style>
  <w:style w:type="paragraph" w:customStyle="1" w:styleId="Zitat1">
    <w:name w:val="Zitat1"/>
    <w:basedOn w:val="Standard"/>
    <w:link w:val="ZitatZchn"/>
    <w:qFormat/>
    <w:rsid w:val="004A51E7"/>
    <w:pPr>
      <w:ind w:left="708"/>
    </w:pPr>
    <w:rPr>
      <w:rFonts w:cs="Arial"/>
      <w:sz w:val="20"/>
      <w:szCs w:val="20"/>
      <w:lang w:val="de-DE"/>
    </w:rPr>
  </w:style>
  <w:style w:type="character" w:customStyle="1" w:styleId="ZitatZchn">
    <w:name w:val="Zitat Zchn"/>
    <w:basedOn w:val="Absatz-Standardschriftart"/>
    <w:link w:val="Zitat1"/>
    <w:rsid w:val="004A51E7"/>
    <w:rPr>
      <w:rFonts w:ascii="Arial" w:eastAsia="Times New Roman" w:hAnsi="Arial" w:cs="Arial"/>
      <w:sz w:val="20"/>
      <w:szCs w:val="20"/>
      <w:lang w:val="de-DE" w:eastAsia="de-AT"/>
    </w:rPr>
  </w:style>
  <w:style w:type="paragraph" w:styleId="Textkrper-Zeileneinzug">
    <w:name w:val="Body Text Indent"/>
    <w:basedOn w:val="Standard"/>
    <w:link w:val="Textkrper-ZeileneinzugZchn"/>
    <w:uiPriority w:val="99"/>
    <w:semiHidden/>
    <w:unhideWhenUsed/>
    <w:rsid w:val="00DD56DE"/>
    <w:pPr>
      <w:ind w:left="283"/>
    </w:pPr>
  </w:style>
  <w:style w:type="character" w:customStyle="1" w:styleId="Textkrper-ZeileneinzugZchn">
    <w:name w:val="Textkörper-Zeileneinzug Zchn"/>
    <w:basedOn w:val="Absatz-Standardschriftart"/>
    <w:link w:val="Textkrper-Zeileneinzug"/>
    <w:uiPriority w:val="99"/>
    <w:semiHidden/>
    <w:rsid w:val="00DD56DE"/>
    <w:rPr>
      <w:rFonts w:ascii="Arial" w:eastAsia="Times New Roman" w:hAnsi="Arial" w:cs="Times New Roman"/>
      <w:sz w:val="24"/>
      <w:szCs w:val="24"/>
      <w:lang w:eastAsia="de-AT"/>
    </w:rPr>
  </w:style>
  <w:style w:type="character" w:styleId="BesuchterHyperlink">
    <w:name w:val="FollowedHyperlink"/>
    <w:basedOn w:val="Absatz-Standardschriftart"/>
    <w:uiPriority w:val="99"/>
    <w:semiHidden/>
    <w:unhideWhenUsed/>
    <w:rsid w:val="00140B2B"/>
    <w:rPr>
      <w:color w:val="800080" w:themeColor="followedHyperlink"/>
      <w:u w:val="single"/>
    </w:rPr>
  </w:style>
  <w:style w:type="paragraph" w:styleId="Kopfzeile">
    <w:name w:val="header"/>
    <w:basedOn w:val="Standard"/>
    <w:link w:val="KopfzeileZchn"/>
    <w:uiPriority w:val="99"/>
    <w:unhideWhenUsed/>
    <w:rsid w:val="002D0AA0"/>
    <w:pPr>
      <w:tabs>
        <w:tab w:val="center" w:pos="4536"/>
        <w:tab w:val="right" w:pos="9072"/>
      </w:tabs>
      <w:spacing w:after="0"/>
    </w:pPr>
  </w:style>
  <w:style w:type="character" w:customStyle="1" w:styleId="KopfzeileZchn">
    <w:name w:val="Kopfzeile Zchn"/>
    <w:basedOn w:val="Absatz-Standardschriftart"/>
    <w:link w:val="Kopfzeile"/>
    <w:uiPriority w:val="99"/>
    <w:rsid w:val="002D0AA0"/>
    <w:rPr>
      <w:rFonts w:ascii="Arial" w:eastAsia="Times New Roman" w:hAnsi="Arial" w:cs="Times New Roman"/>
      <w:sz w:val="24"/>
      <w:szCs w:val="24"/>
      <w:lang w:eastAsia="de-AT"/>
    </w:rPr>
  </w:style>
  <w:style w:type="paragraph" w:styleId="Fuzeile">
    <w:name w:val="footer"/>
    <w:basedOn w:val="Standard"/>
    <w:link w:val="FuzeileZchn"/>
    <w:uiPriority w:val="99"/>
    <w:unhideWhenUsed/>
    <w:rsid w:val="002D0AA0"/>
    <w:pPr>
      <w:tabs>
        <w:tab w:val="center" w:pos="4536"/>
        <w:tab w:val="right" w:pos="9072"/>
      </w:tabs>
      <w:spacing w:after="0"/>
    </w:pPr>
  </w:style>
  <w:style w:type="character" w:customStyle="1" w:styleId="FuzeileZchn">
    <w:name w:val="Fußzeile Zchn"/>
    <w:basedOn w:val="Absatz-Standardschriftart"/>
    <w:link w:val="Fuzeile"/>
    <w:uiPriority w:val="99"/>
    <w:rsid w:val="002D0AA0"/>
    <w:rPr>
      <w:rFonts w:ascii="Arial" w:eastAsia="Times New Roman" w:hAnsi="Arial"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FD6"/>
    <w:pPr>
      <w:spacing w:after="120" w:line="240" w:lineRule="auto"/>
      <w:jc w:val="both"/>
    </w:pPr>
    <w:rPr>
      <w:rFonts w:ascii="Arial" w:eastAsia="Times New Roman" w:hAnsi="Arial" w:cs="Times New Roman"/>
      <w:sz w:val="24"/>
      <w:szCs w:val="24"/>
      <w:lang w:eastAsia="de-AT"/>
    </w:rPr>
  </w:style>
  <w:style w:type="paragraph" w:styleId="berschrift1">
    <w:name w:val="heading 1"/>
    <w:basedOn w:val="Standard"/>
    <w:next w:val="Standard"/>
    <w:link w:val="berschrift1Zchn"/>
    <w:uiPriority w:val="9"/>
    <w:qFormat/>
    <w:rsid w:val="00D25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57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614"/>
    <w:pPr>
      <w:ind w:left="720"/>
      <w:contextualSpacing/>
    </w:pPr>
  </w:style>
  <w:style w:type="paragraph" w:styleId="Titel">
    <w:name w:val="Title"/>
    <w:basedOn w:val="Standard"/>
    <w:next w:val="Standard"/>
    <w:link w:val="TitelZchn"/>
    <w:uiPriority w:val="10"/>
    <w:qFormat/>
    <w:rsid w:val="000F46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461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2503B"/>
    <w:rPr>
      <w:rFonts w:asciiTheme="majorHAnsi" w:eastAsiaTheme="majorEastAsia" w:hAnsiTheme="majorHAnsi" w:cstheme="majorBidi"/>
      <w:b/>
      <w:bCs/>
      <w:color w:val="365F91" w:themeColor="accent1" w:themeShade="BF"/>
      <w:sz w:val="28"/>
      <w:szCs w:val="28"/>
      <w:lang w:eastAsia="de-AT"/>
    </w:rPr>
  </w:style>
  <w:style w:type="paragraph" w:styleId="Funotentext">
    <w:name w:val="footnote text"/>
    <w:basedOn w:val="Standard"/>
    <w:link w:val="FunotentextZchn"/>
    <w:unhideWhenUsed/>
    <w:rsid w:val="00385ED8"/>
    <w:pPr>
      <w:spacing w:after="0"/>
    </w:pPr>
    <w:rPr>
      <w:sz w:val="20"/>
      <w:szCs w:val="20"/>
    </w:rPr>
  </w:style>
  <w:style w:type="character" w:customStyle="1" w:styleId="FunotentextZchn">
    <w:name w:val="Fußnotentext Zchn"/>
    <w:basedOn w:val="Absatz-Standardschriftart"/>
    <w:link w:val="Funotentext"/>
    <w:rsid w:val="00385ED8"/>
    <w:rPr>
      <w:sz w:val="20"/>
      <w:szCs w:val="20"/>
    </w:rPr>
  </w:style>
  <w:style w:type="character" w:styleId="Funotenzeichen">
    <w:name w:val="footnote reference"/>
    <w:basedOn w:val="Absatz-Standardschriftart"/>
    <w:semiHidden/>
    <w:unhideWhenUsed/>
    <w:rsid w:val="00385ED8"/>
    <w:rPr>
      <w:vertAlign w:val="superscript"/>
    </w:rPr>
  </w:style>
  <w:style w:type="character" w:customStyle="1" w:styleId="berschrift2Zchn">
    <w:name w:val="Überschrift 2 Zchn"/>
    <w:basedOn w:val="Absatz-Standardschriftart"/>
    <w:link w:val="berschrift2"/>
    <w:uiPriority w:val="9"/>
    <w:rsid w:val="00857882"/>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nhideWhenUsed/>
    <w:rsid w:val="00E55895"/>
    <w:rPr>
      <w:color w:val="0000FF"/>
      <w:u w:val="single"/>
    </w:rPr>
  </w:style>
  <w:style w:type="paragraph" w:styleId="Untertitel">
    <w:name w:val="Subtitle"/>
    <w:basedOn w:val="Standard"/>
    <w:next w:val="Standard"/>
    <w:link w:val="UntertitelZchn"/>
    <w:uiPriority w:val="11"/>
    <w:qFormat/>
    <w:rsid w:val="00D2503B"/>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D2503B"/>
    <w:rPr>
      <w:rFonts w:asciiTheme="majorHAnsi" w:eastAsiaTheme="majorEastAsia" w:hAnsiTheme="majorHAnsi" w:cstheme="majorBidi"/>
      <w:i/>
      <w:iCs/>
      <w:color w:val="4F81BD" w:themeColor="accent1"/>
      <w:spacing w:val="15"/>
      <w:sz w:val="24"/>
      <w:szCs w:val="24"/>
      <w:lang w:eastAsia="de-AT"/>
    </w:rPr>
  </w:style>
  <w:style w:type="paragraph" w:customStyle="1" w:styleId="Zitat1">
    <w:name w:val="Zitat1"/>
    <w:basedOn w:val="Standard"/>
    <w:link w:val="ZitatZchn"/>
    <w:qFormat/>
    <w:rsid w:val="004A51E7"/>
    <w:pPr>
      <w:ind w:left="708"/>
    </w:pPr>
    <w:rPr>
      <w:rFonts w:cs="Arial"/>
      <w:sz w:val="20"/>
      <w:szCs w:val="20"/>
      <w:lang w:val="de-DE"/>
    </w:rPr>
  </w:style>
  <w:style w:type="character" w:customStyle="1" w:styleId="ZitatZchn">
    <w:name w:val="Zitat Zchn"/>
    <w:basedOn w:val="Absatz-Standardschriftart"/>
    <w:link w:val="Zitat1"/>
    <w:rsid w:val="004A51E7"/>
    <w:rPr>
      <w:rFonts w:ascii="Arial" w:eastAsia="Times New Roman" w:hAnsi="Arial" w:cs="Arial"/>
      <w:sz w:val="20"/>
      <w:szCs w:val="20"/>
      <w:lang w:val="de-DE" w:eastAsia="de-AT"/>
    </w:rPr>
  </w:style>
  <w:style w:type="paragraph" w:styleId="Textkrper-Zeileneinzug">
    <w:name w:val="Body Text Indent"/>
    <w:basedOn w:val="Standard"/>
    <w:link w:val="Textkrper-ZeileneinzugZchn"/>
    <w:uiPriority w:val="99"/>
    <w:semiHidden/>
    <w:unhideWhenUsed/>
    <w:rsid w:val="00DD56DE"/>
    <w:pPr>
      <w:ind w:left="283"/>
    </w:pPr>
  </w:style>
  <w:style w:type="character" w:customStyle="1" w:styleId="Textkrper-ZeileneinzugZchn">
    <w:name w:val="Textkörper-Zeileneinzug Zchn"/>
    <w:basedOn w:val="Absatz-Standardschriftart"/>
    <w:link w:val="Textkrper-Zeileneinzug"/>
    <w:uiPriority w:val="99"/>
    <w:semiHidden/>
    <w:rsid w:val="00DD56DE"/>
    <w:rPr>
      <w:rFonts w:ascii="Arial" w:eastAsia="Times New Roman" w:hAnsi="Arial" w:cs="Times New Roman"/>
      <w:sz w:val="24"/>
      <w:szCs w:val="24"/>
      <w:lang w:eastAsia="de-AT"/>
    </w:rPr>
  </w:style>
  <w:style w:type="character" w:styleId="BesuchterHyperlink">
    <w:name w:val="FollowedHyperlink"/>
    <w:basedOn w:val="Absatz-Standardschriftart"/>
    <w:uiPriority w:val="99"/>
    <w:semiHidden/>
    <w:unhideWhenUsed/>
    <w:rsid w:val="00140B2B"/>
    <w:rPr>
      <w:color w:val="800080" w:themeColor="followedHyperlink"/>
      <w:u w:val="single"/>
    </w:rPr>
  </w:style>
  <w:style w:type="paragraph" w:styleId="Kopfzeile">
    <w:name w:val="header"/>
    <w:basedOn w:val="Standard"/>
    <w:link w:val="KopfzeileZchn"/>
    <w:uiPriority w:val="99"/>
    <w:unhideWhenUsed/>
    <w:rsid w:val="002D0AA0"/>
    <w:pPr>
      <w:tabs>
        <w:tab w:val="center" w:pos="4536"/>
        <w:tab w:val="right" w:pos="9072"/>
      </w:tabs>
      <w:spacing w:after="0"/>
    </w:pPr>
  </w:style>
  <w:style w:type="character" w:customStyle="1" w:styleId="KopfzeileZchn">
    <w:name w:val="Kopfzeile Zchn"/>
    <w:basedOn w:val="Absatz-Standardschriftart"/>
    <w:link w:val="Kopfzeile"/>
    <w:uiPriority w:val="99"/>
    <w:rsid w:val="002D0AA0"/>
    <w:rPr>
      <w:rFonts w:ascii="Arial" w:eastAsia="Times New Roman" w:hAnsi="Arial" w:cs="Times New Roman"/>
      <w:sz w:val="24"/>
      <w:szCs w:val="24"/>
      <w:lang w:eastAsia="de-AT"/>
    </w:rPr>
  </w:style>
  <w:style w:type="paragraph" w:styleId="Fuzeile">
    <w:name w:val="footer"/>
    <w:basedOn w:val="Standard"/>
    <w:link w:val="FuzeileZchn"/>
    <w:uiPriority w:val="99"/>
    <w:unhideWhenUsed/>
    <w:rsid w:val="002D0AA0"/>
    <w:pPr>
      <w:tabs>
        <w:tab w:val="center" w:pos="4536"/>
        <w:tab w:val="right" w:pos="9072"/>
      </w:tabs>
      <w:spacing w:after="0"/>
    </w:pPr>
  </w:style>
  <w:style w:type="character" w:customStyle="1" w:styleId="FuzeileZchn">
    <w:name w:val="Fußzeile Zchn"/>
    <w:basedOn w:val="Absatz-Standardschriftart"/>
    <w:link w:val="Fuzeile"/>
    <w:uiPriority w:val="99"/>
    <w:rsid w:val="002D0AA0"/>
    <w:rPr>
      <w:rFonts w:ascii="Arial" w:eastAsia="Times New Roman" w:hAnsi="Arial"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1189">
      <w:bodyDiv w:val="1"/>
      <w:marLeft w:val="0"/>
      <w:marRight w:val="0"/>
      <w:marTop w:val="0"/>
      <w:marBottom w:val="0"/>
      <w:divBdr>
        <w:top w:val="none" w:sz="0" w:space="0" w:color="auto"/>
        <w:left w:val="none" w:sz="0" w:space="0" w:color="auto"/>
        <w:bottom w:val="none" w:sz="0" w:space="0" w:color="auto"/>
        <w:right w:val="none" w:sz="0" w:space="0" w:color="auto"/>
      </w:divBdr>
    </w:div>
    <w:div w:id="373425269">
      <w:bodyDiv w:val="1"/>
      <w:marLeft w:val="0"/>
      <w:marRight w:val="0"/>
      <w:marTop w:val="0"/>
      <w:marBottom w:val="0"/>
      <w:divBdr>
        <w:top w:val="none" w:sz="0" w:space="0" w:color="auto"/>
        <w:left w:val="none" w:sz="0" w:space="0" w:color="auto"/>
        <w:bottom w:val="none" w:sz="0" w:space="0" w:color="auto"/>
        <w:right w:val="none" w:sz="0" w:space="0" w:color="auto"/>
      </w:divBdr>
    </w:div>
    <w:div w:id="587930436">
      <w:bodyDiv w:val="1"/>
      <w:marLeft w:val="0"/>
      <w:marRight w:val="0"/>
      <w:marTop w:val="0"/>
      <w:marBottom w:val="0"/>
      <w:divBdr>
        <w:top w:val="none" w:sz="0" w:space="0" w:color="auto"/>
        <w:left w:val="none" w:sz="0" w:space="0" w:color="auto"/>
        <w:bottom w:val="none" w:sz="0" w:space="0" w:color="auto"/>
        <w:right w:val="none" w:sz="0" w:space="0" w:color="auto"/>
      </w:divBdr>
    </w:div>
    <w:div w:id="855075287">
      <w:bodyDiv w:val="1"/>
      <w:marLeft w:val="0"/>
      <w:marRight w:val="0"/>
      <w:marTop w:val="0"/>
      <w:marBottom w:val="0"/>
      <w:divBdr>
        <w:top w:val="none" w:sz="0" w:space="0" w:color="auto"/>
        <w:left w:val="none" w:sz="0" w:space="0" w:color="auto"/>
        <w:bottom w:val="none" w:sz="0" w:space="0" w:color="auto"/>
        <w:right w:val="none" w:sz="0" w:space="0" w:color="auto"/>
      </w:divBdr>
    </w:div>
    <w:div w:id="1383556444">
      <w:bodyDiv w:val="1"/>
      <w:marLeft w:val="0"/>
      <w:marRight w:val="0"/>
      <w:marTop w:val="0"/>
      <w:marBottom w:val="0"/>
      <w:divBdr>
        <w:top w:val="none" w:sz="0" w:space="0" w:color="auto"/>
        <w:left w:val="none" w:sz="0" w:space="0" w:color="auto"/>
        <w:bottom w:val="none" w:sz="0" w:space="0" w:color="auto"/>
        <w:right w:val="none" w:sz="0" w:space="0" w:color="auto"/>
      </w:divBdr>
      <w:divsChild>
        <w:div w:id="1376199361">
          <w:marLeft w:val="0"/>
          <w:marRight w:val="0"/>
          <w:marTop w:val="0"/>
          <w:marBottom w:val="0"/>
          <w:divBdr>
            <w:top w:val="none" w:sz="0" w:space="0" w:color="auto"/>
            <w:left w:val="none" w:sz="0" w:space="0" w:color="auto"/>
            <w:bottom w:val="none" w:sz="0" w:space="0" w:color="auto"/>
            <w:right w:val="none" w:sz="0" w:space="0" w:color="auto"/>
          </w:divBdr>
          <w:divsChild>
            <w:div w:id="89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auskirche.at/dokumente/wg-pastoral.htm" TargetMode="External"/><Relationship Id="rId3" Type="http://schemas.openxmlformats.org/officeDocument/2006/relationships/hyperlink" Target="http://stjosef.at/dokumente/humanae_vitae.htm" TargetMode="External"/><Relationship Id="rId7" Type="http://schemas.openxmlformats.org/officeDocument/2006/relationships/hyperlink" Target="http://www.vatican.va/roman_curia/pontifical_councils/intrptxt/documents/rc_pc_intrptxt_doc_20050125_dignitas-connubii_ge.html" TargetMode="External"/><Relationship Id="rId2" Type="http://schemas.openxmlformats.org/officeDocument/2006/relationships/hyperlink" Target="http://www.vatican.va/holy_father/benedict_xvi/encyclicals/documents/hf_ben-xvi_enc_20051225_deus-caritas-est_ge.html" TargetMode="External"/><Relationship Id="rId1" Type="http://schemas.openxmlformats.org/officeDocument/2006/relationships/hyperlink" Target="http://www.stjosef.at/dokumente/familiaris_consortio.htm" TargetMode="External"/><Relationship Id="rId6" Type="http://schemas.openxmlformats.org/officeDocument/2006/relationships/hyperlink" Target="http://www.vatican.va/roman_curia/congregations/cfaith/documents/rc_con_cfaith_doc_14091994_rec-holy-comm-by-divorced_ge.html" TargetMode="External"/><Relationship Id="rId5" Type="http://schemas.openxmlformats.org/officeDocument/2006/relationships/hyperlink" Target="http://www.vatican.va/roman_curia/congregations/cfaith/documents/rc_con_cfaith_doc_20081208_dignitas-personae_ge.html" TargetMode="External"/><Relationship Id="rId10" Type="http://schemas.openxmlformats.org/officeDocument/2006/relationships/hyperlink" Target="http://www.uibk.ac.at/theol/leseraum/texte/322.html" TargetMode="External"/><Relationship Id="rId4" Type="http://schemas.openxmlformats.org/officeDocument/2006/relationships/hyperlink" Target="http://www.vatican.va/holy_father/john_paul_ii/homilies/1980/documents/hf_jp-ii_hom_19801115_colonia-germany_ge.html" TargetMode="External"/><Relationship Id="rId9" Type="http://schemas.openxmlformats.org/officeDocument/2006/relationships/hyperlink" Target="http://stjosef.at/dokumente/persona_humana.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38F8-D9AE-4893-8724-B9567C5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3650</Words>
  <Characters>23000</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Aktuelle Herausforderungen für Ehe und Familie. Moraltheologische Anmerkungen</vt:lpstr>
    </vt:vector>
  </TitlesOfParts>
  <Company>Gemeinschaft vom heiligen Josef</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Herausforderungen für Ehe und Familie. Moraltheologische Anmerkungen</dc:title>
  <dc:creator>Josef Spindelböck</dc:creator>
  <cp:lastModifiedBy>Josef Spindelböck</cp:lastModifiedBy>
  <cp:revision>5</cp:revision>
  <dcterms:created xsi:type="dcterms:W3CDTF">2010-10-14T18:21:00Z</dcterms:created>
  <dcterms:modified xsi:type="dcterms:W3CDTF">2010-10-14T19:01:00Z</dcterms:modified>
</cp:coreProperties>
</file>